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rFonts w:ascii="Roboto" w:cs="Roboto" w:eastAsia="Roboto" w:hAnsi="Roboto"/>
          <w:b w:val="1"/>
          <w:color w:val="0f0f0f"/>
          <w:sz w:val="46"/>
          <w:szCs w:val="46"/>
        </w:rPr>
      </w:pPr>
      <w:bookmarkStart w:colFirst="0" w:colLast="0" w:name="_sp9pebew3wpi" w:id="0"/>
      <w:bookmarkEnd w:id="0"/>
      <w:r w:rsidDel="00000000" w:rsidR="00000000" w:rsidRPr="00000000">
        <w:rPr>
          <w:rFonts w:ascii="Roboto" w:cs="Roboto" w:eastAsia="Roboto" w:hAnsi="Roboto"/>
          <w:b w:val="1"/>
          <w:color w:val="0f0f0f"/>
          <w:sz w:val="46"/>
          <w:szCs w:val="46"/>
          <w:rtl w:val="0"/>
        </w:rPr>
        <w:t xml:space="preserve">Why Car Companies Still Use Clay Models That Cost Up To $650K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https://www.youtube.com/watch?v=rYHBCZdMlqw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Type of Modeling Clay that can be bought locally</w:t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https://canada.michaels.com/en/6.1lb-modeling-clay-set-by-craft-smart/10657265.html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rYHBCZdMlqw" TargetMode="External"/><Relationship Id="rId7" Type="http://schemas.openxmlformats.org/officeDocument/2006/relationships/hyperlink" Target="https://canada.michaels.com/en/6.1lb-modeling-clay-set-by-craft-smart/10657265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