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3FAD" w14:textId="77777777" w:rsidR="00F37E0E" w:rsidRDefault="00000000">
      <w:pPr>
        <w:rPr>
          <w:rFonts w:ascii="Google Sans" w:eastAsia="Google Sans" w:hAnsi="Google Sans" w:cs="Google Sans"/>
          <w:shd w:val="clear" w:color="auto" w:fill="EAD1DC"/>
        </w:rPr>
      </w:pPr>
      <w:r>
        <w:rPr>
          <w:noProof/>
        </w:rPr>
        <w:drawing>
          <wp:anchor distT="114300" distB="114300" distL="114300" distR="114300" simplePos="0" relativeHeight="251658240" behindDoc="1" locked="0" layoutInCell="1" hidden="0" allowOverlap="1" wp14:anchorId="2BAE02D4" wp14:editId="4DAF4B98">
            <wp:simplePos x="0" y="0"/>
            <wp:positionH relativeFrom="column">
              <wp:posOffset>-69487</wp:posOffset>
            </wp:positionH>
            <wp:positionV relativeFrom="paragraph">
              <wp:posOffset>114300</wp:posOffset>
            </wp:positionV>
            <wp:extent cx="7236188" cy="958963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36188" cy="9589639"/>
                    </a:xfrm>
                    <a:prstGeom prst="rect">
                      <a:avLst/>
                    </a:prstGeom>
                    <a:ln/>
                  </pic:spPr>
                </pic:pic>
              </a:graphicData>
            </a:graphic>
          </wp:anchor>
        </w:drawing>
      </w:r>
    </w:p>
    <w:p w14:paraId="6C50A8DC" w14:textId="77777777" w:rsidR="00F37E0E" w:rsidRDefault="00F37E0E">
      <w:pPr>
        <w:rPr>
          <w:rFonts w:ascii="Google Sans" w:eastAsia="Google Sans" w:hAnsi="Google Sans" w:cs="Google Sans"/>
          <w:shd w:val="clear" w:color="auto" w:fill="EAD1DC"/>
        </w:rPr>
      </w:pPr>
    </w:p>
    <w:p w14:paraId="6D6AF808" w14:textId="77777777" w:rsidR="00F37E0E" w:rsidRDefault="00F37E0E">
      <w:pPr>
        <w:rPr>
          <w:rFonts w:ascii="Google Sans" w:eastAsia="Google Sans" w:hAnsi="Google Sans" w:cs="Google Sans"/>
          <w:shd w:val="clear" w:color="auto" w:fill="EAD1DC"/>
        </w:rPr>
      </w:pPr>
    </w:p>
    <w:p w14:paraId="3BBA2B57" w14:textId="77777777" w:rsidR="00F37E0E" w:rsidRDefault="00F37E0E">
      <w:pPr>
        <w:rPr>
          <w:rFonts w:ascii="Google Sans" w:eastAsia="Google Sans" w:hAnsi="Google Sans" w:cs="Google Sans"/>
          <w:shd w:val="clear" w:color="auto" w:fill="EAD1DC"/>
        </w:rPr>
      </w:pPr>
    </w:p>
    <w:p w14:paraId="701D79C0" w14:textId="77777777" w:rsidR="00F37E0E" w:rsidRDefault="00F37E0E">
      <w:pPr>
        <w:rPr>
          <w:rFonts w:ascii="Google Sans" w:eastAsia="Google Sans" w:hAnsi="Google Sans" w:cs="Google Sans"/>
          <w:shd w:val="clear" w:color="auto" w:fill="EAD1DC"/>
        </w:rPr>
      </w:pPr>
    </w:p>
    <w:p w14:paraId="35D4B017" w14:textId="77777777" w:rsidR="00F37E0E" w:rsidRDefault="00F37E0E">
      <w:pPr>
        <w:rPr>
          <w:rFonts w:ascii="Google Sans" w:eastAsia="Google Sans" w:hAnsi="Google Sans" w:cs="Google Sans"/>
          <w:shd w:val="clear" w:color="auto" w:fill="EAD1DC"/>
        </w:rPr>
      </w:pPr>
    </w:p>
    <w:p w14:paraId="3B742737" w14:textId="77777777" w:rsidR="00F37E0E" w:rsidRDefault="00F37E0E">
      <w:pPr>
        <w:rPr>
          <w:rFonts w:ascii="Google Sans" w:eastAsia="Google Sans" w:hAnsi="Google Sans" w:cs="Google Sans"/>
          <w:shd w:val="clear" w:color="auto" w:fill="EAD1DC"/>
        </w:rPr>
      </w:pPr>
    </w:p>
    <w:p w14:paraId="7211400B" w14:textId="77777777" w:rsidR="00F37E0E" w:rsidRDefault="00F37E0E">
      <w:pPr>
        <w:rPr>
          <w:rFonts w:ascii="Google Sans" w:eastAsia="Google Sans" w:hAnsi="Google Sans" w:cs="Google Sans"/>
          <w:shd w:val="clear" w:color="auto" w:fill="EAD1DC"/>
        </w:rPr>
      </w:pPr>
    </w:p>
    <w:p w14:paraId="1AD2E8C0" w14:textId="77777777" w:rsidR="00F37E0E" w:rsidRDefault="00F37E0E">
      <w:pPr>
        <w:rPr>
          <w:rFonts w:ascii="Google Sans" w:eastAsia="Google Sans" w:hAnsi="Google Sans" w:cs="Google Sans"/>
          <w:shd w:val="clear" w:color="auto" w:fill="EAD1DC"/>
        </w:rPr>
      </w:pPr>
    </w:p>
    <w:p w14:paraId="2837BFE1" w14:textId="77777777" w:rsidR="00F37E0E" w:rsidRDefault="00F37E0E">
      <w:pPr>
        <w:rPr>
          <w:rFonts w:ascii="Google Sans" w:eastAsia="Google Sans" w:hAnsi="Google Sans" w:cs="Google Sans"/>
          <w:shd w:val="clear" w:color="auto" w:fill="EAD1DC"/>
        </w:rPr>
      </w:pPr>
    </w:p>
    <w:p w14:paraId="7DC8E211" w14:textId="77777777" w:rsidR="00F37E0E" w:rsidRDefault="00000000">
      <w:pPr>
        <w:rPr>
          <w:rFonts w:ascii="Google Sans" w:eastAsia="Google Sans" w:hAnsi="Google Sans" w:cs="Google Sans"/>
        </w:rPr>
      </w:pPr>
      <w:r>
        <w:rPr>
          <w:rFonts w:ascii="Google Sans" w:eastAsia="Google Sans" w:hAnsi="Google Sans" w:cs="Google Sans"/>
        </w:rPr>
        <w:tab/>
      </w:r>
      <w:r>
        <w:rPr>
          <w:rFonts w:ascii="Google Sans" w:eastAsia="Google Sans" w:hAnsi="Google Sans" w:cs="Google Sans"/>
        </w:rPr>
        <w:tab/>
        <w:t xml:space="preserve"> TCJ2O/TMJ2O - </w:t>
      </w:r>
      <w:r>
        <w:rPr>
          <w:rFonts w:ascii="Google Sans" w:eastAsia="Google Sans" w:hAnsi="Google Sans" w:cs="Google Sans"/>
          <w:sz w:val="22"/>
          <w:szCs w:val="22"/>
        </w:rPr>
        <w:t>Construction de blocs de précision à l'aide de matrices et de moules</w:t>
      </w:r>
    </w:p>
    <w:p w14:paraId="1E95A362" w14:textId="77777777" w:rsidR="00F37E0E" w:rsidRDefault="00F37E0E">
      <w:pPr>
        <w:rPr>
          <w:rFonts w:ascii="Google Sans" w:eastAsia="Google Sans" w:hAnsi="Google Sans" w:cs="Google Sans"/>
          <w:shd w:val="clear" w:color="auto" w:fill="EAD1DC"/>
        </w:rPr>
      </w:pPr>
    </w:p>
    <w:p w14:paraId="6DA9AE28" w14:textId="77777777" w:rsidR="00F37E0E" w:rsidRDefault="00F37E0E">
      <w:pPr>
        <w:rPr>
          <w:rFonts w:ascii="Google Sans" w:eastAsia="Google Sans" w:hAnsi="Google Sans" w:cs="Google Sans"/>
          <w:shd w:val="clear" w:color="auto" w:fill="EAD1DC"/>
        </w:rPr>
      </w:pPr>
    </w:p>
    <w:p w14:paraId="218B2048" w14:textId="77777777" w:rsidR="00F37E0E" w:rsidRDefault="00F37E0E">
      <w:pPr>
        <w:rPr>
          <w:rFonts w:ascii="Google Sans" w:eastAsia="Google Sans" w:hAnsi="Google Sans" w:cs="Google Sans"/>
          <w:shd w:val="clear" w:color="auto" w:fill="EAD1DC"/>
        </w:rPr>
      </w:pPr>
    </w:p>
    <w:p w14:paraId="7162256C" w14:textId="77777777" w:rsidR="00F37E0E" w:rsidRDefault="00F37E0E">
      <w:pPr>
        <w:rPr>
          <w:rFonts w:ascii="Google Sans" w:eastAsia="Google Sans" w:hAnsi="Google Sans" w:cs="Google Sans"/>
          <w:shd w:val="clear" w:color="auto" w:fill="EAD1DC"/>
        </w:rPr>
      </w:pPr>
    </w:p>
    <w:p w14:paraId="5D429412" w14:textId="77777777" w:rsidR="00F37E0E" w:rsidRDefault="00F37E0E">
      <w:pPr>
        <w:rPr>
          <w:rFonts w:ascii="Google Sans" w:eastAsia="Google Sans" w:hAnsi="Google Sans" w:cs="Google Sans"/>
          <w:shd w:val="clear" w:color="auto" w:fill="EAD1DC"/>
        </w:rPr>
      </w:pPr>
    </w:p>
    <w:p w14:paraId="5E376FD9" w14:textId="77777777" w:rsidR="00F37E0E" w:rsidRDefault="00F37E0E">
      <w:pPr>
        <w:rPr>
          <w:rFonts w:ascii="Google Sans" w:eastAsia="Google Sans" w:hAnsi="Google Sans" w:cs="Google Sans"/>
          <w:shd w:val="clear" w:color="auto" w:fill="EAD1DC"/>
        </w:rPr>
      </w:pPr>
    </w:p>
    <w:p w14:paraId="0FCAB499" w14:textId="77777777" w:rsidR="00F37E0E" w:rsidRDefault="00F37E0E">
      <w:pPr>
        <w:rPr>
          <w:rFonts w:ascii="Google Sans" w:eastAsia="Google Sans" w:hAnsi="Google Sans" w:cs="Google Sans"/>
          <w:shd w:val="clear" w:color="auto" w:fill="EAD1DC"/>
        </w:rPr>
      </w:pPr>
    </w:p>
    <w:p w14:paraId="6E7F001C" w14:textId="77777777" w:rsidR="00F37E0E" w:rsidRDefault="00F37E0E">
      <w:pPr>
        <w:rPr>
          <w:rFonts w:ascii="Google Sans" w:eastAsia="Google Sans" w:hAnsi="Google Sans" w:cs="Google Sans"/>
          <w:shd w:val="clear" w:color="auto" w:fill="EAD1DC"/>
        </w:rPr>
      </w:pPr>
    </w:p>
    <w:p w14:paraId="19342AA9" w14:textId="77777777" w:rsidR="00F37E0E" w:rsidRDefault="00000000">
      <w:pPr>
        <w:jc w:val="right"/>
        <w:rPr>
          <w:rFonts w:ascii="Google Sans" w:eastAsia="Google Sans" w:hAnsi="Google Sans" w:cs="Google Sans"/>
          <w:b/>
          <w:sz w:val="28"/>
          <w:szCs w:val="28"/>
        </w:rPr>
      </w:pPr>
      <w:r>
        <w:rPr>
          <w:rFonts w:ascii="Google Sans" w:eastAsia="Google Sans" w:hAnsi="Google Sans" w:cs="Google Sans"/>
          <w:b/>
          <w:sz w:val="28"/>
          <w:szCs w:val="28"/>
        </w:rPr>
        <w:t xml:space="preserve">           </w:t>
      </w:r>
    </w:p>
    <w:p w14:paraId="01554BDF" w14:textId="77777777" w:rsidR="00F37E0E" w:rsidRDefault="00F37E0E">
      <w:pPr>
        <w:ind w:left="1440"/>
        <w:jc w:val="left"/>
        <w:rPr>
          <w:rFonts w:ascii="Google Sans" w:eastAsia="Google Sans" w:hAnsi="Google Sans" w:cs="Google Sans"/>
          <w:b/>
        </w:rPr>
      </w:pPr>
    </w:p>
    <w:p w14:paraId="404C5F83" w14:textId="77777777" w:rsidR="00F37E0E" w:rsidRDefault="00000000">
      <w:pPr>
        <w:ind w:left="1440"/>
        <w:jc w:val="left"/>
        <w:rPr>
          <w:rFonts w:ascii="Google Sans" w:eastAsia="Google Sans" w:hAnsi="Google Sans" w:cs="Google Sans"/>
          <w:b/>
        </w:rPr>
        <w:sectPr w:rsidR="00F37E0E">
          <w:pgSz w:w="12240" w:h="15840"/>
          <w:pgMar w:top="566" w:right="566" w:bottom="566" w:left="566" w:header="720" w:footer="720" w:gutter="0"/>
          <w:pgNumType w:start="1"/>
          <w:cols w:space="720"/>
        </w:sectPr>
      </w:pPr>
      <w:r>
        <w:rPr>
          <w:rFonts w:ascii="Google Sans" w:eastAsia="Google Sans" w:hAnsi="Google Sans" w:cs="Google Sans"/>
          <w:b/>
        </w:rPr>
        <w:t xml:space="preserve">       </w:t>
      </w:r>
    </w:p>
    <w:p w14:paraId="4CF8F297" w14:textId="77777777" w:rsidR="00F37E0E" w:rsidRDefault="00000000">
      <w:pPr>
        <w:rPr>
          <w:rFonts w:ascii="Google Sans" w:eastAsia="Google Sans" w:hAnsi="Google Sans" w:cs="Google Sans"/>
          <w:color w:val="1932FF"/>
          <w:sz w:val="38"/>
          <w:szCs w:val="38"/>
        </w:rPr>
      </w:pPr>
      <w:r>
        <w:rPr>
          <w:rFonts w:ascii="Google Sans" w:eastAsia="Google Sans" w:hAnsi="Google Sans" w:cs="Google Sans"/>
          <w:color w:val="1932FF"/>
          <w:sz w:val="38"/>
          <w:szCs w:val="38"/>
        </w:rPr>
        <w:lastRenderedPageBreak/>
        <w:t>Table des matières</w:t>
      </w:r>
      <w:r>
        <w:rPr>
          <w:noProof/>
        </w:rPr>
        <mc:AlternateContent>
          <mc:Choice Requires="wpg">
            <w:drawing>
              <wp:anchor distT="0" distB="0" distL="114300" distR="114300" simplePos="0" relativeHeight="251659264" behindDoc="0" locked="0" layoutInCell="1" hidden="0" allowOverlap="1" wp14:anchorId="58F3D21F" wp14:editId="1CD0C92E">
                <wp:simplePos x="0" y="0"/>
                <wp:positionH relativeFrom="column">
                  <wp:posOffset>-76199</wp:posOffset>
                </wp:positionH>
                <wp:positionV relativeFrom="paragraph">
                  <wp:posOffset>292100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1932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sdt>
      <w:sdtPr>
        <w:id w:val="-972981757"/>
        <w:docPartObj>
          <w:docPartGallery w:val="Table of Contents"/>
          <w:docPartUnique/>
        </w:docPartObj>
      </w:sdtPr>
      <w:sdtContent>
        <w:p w14:paraId="057F7389" w14:textId="77777777" w:rsidR="00F37E0E" w:rsidRDefault="00000000">
          <w:pPr>
            <w:widowControl w:val="0"/>
            <w:tabs>
              <w:tab w:val="right" w:leader="dot" w:pos="12000"/>
            </w:tabs>
            <w:spacing w:before="60" w:after="0"/>
            <w:jc w:val="left"/>
            <w:rPr>
              <w:b/>
              <w:color w:val="000000"/>
              <w:sz w:val="22"/>
              <w:szCs w:val="22"/>
            </w:rPr>
          </w:pPr>
          <w:r>
            <w:fldChar w:fldCharType="begin"/>
          </w:r>
          <w:r>
            <w:instrText xml:space="preserve"> TOC \h \u \z \t "Heading 1,1,Heading 2,2,"</w:instrText>
          </w:r>
          <w:r>
            <w:fldChar w:fldCharType="separate"/>
          </w:r>
          <w:hyperlink w:anchor="_frmasc1nja30">
            <w:r>
              <w:rPr>
                <w:rFonts w:ascii="Google Sans" w:eastAsia="Google Sans" w:hAnsi="Google Sans" w:cs="Google Sans"/>
                <w:color w:val="000000"/>
                <w:sz w:val="22"/>
                <w:szCs w:val="22"/>
              </w:rPr>
              <w:t>Le ROIV</w:t>
            </w:r>
            <w:r>
              <w:rPr>
                <w:rFonts w:ascii="Google Sans" w:eastAsia="Google Sans" w:hAnsi="Google Sans" w:cs="Google Sans"/>
                <w:color w:val="000000"/>
                <w:sz w:val="22"/>
                <w:szCs w:val="22"/>
              </w:rPr>
              <w:tab/>
              <w:t>1</w:t>
            </w:r>
          </w:hyperlink>
        </w:p>
        <w:p w14:paraId="057FF8BC" w14:textId="77777777" w:rsidR="00F37E0E" w:rsidRDefault="00000000">
          <w:pPr>
            <w:widowControl w:val="0"/>
            <w:tabs>
              <w:tab w:val="right" w:leader="dot" w:pos="12000"/>
            </w:tabs>
            <w:spacing w:before="60" w:after="0"/>
            <w:jc w:val="left"/>
            <w:rPr>
              <w:b/>
              <w:color w:val="000000"/>
              <w:sz w:val="22"/>
              <w:szCs w:val="22"/>
            </w:rPr>
          </w:pPr>
          <w:hyperlink w:anchor="_rqujhphd2bvu">
            <w:r>
              <w:rPr>
                <w:rFonts w:ascii="Google Sans" w:eastAsia="Google Sans" w:hAnsi="Google Sans" w:cs="Google Sans"/>
                <w:color w:val="000000"/>
                <w:sz w:val="22"/>
                <w:szCs w:val="22"/>
              </w:rPr>
              <w:t>Outilleurs/ajusteurs et machinistes et vérificateurs/vérificatrices d’usinage et d’outillage : Construction de blocs de précision</w:t>
            </w:r>
            <w:r>
              <w:rPr>
                <w:rFonts w:ascii="Google Sans" w:eastAsia="Google Sans" w:hAnsi="Google Sans" w:cs="Google Sans"/>
                <w:color w:val="000000"/>
                <w:sz w:val="22"/>
                <w:szCs w:val="22"/>
              </w:rPr>
              <w:tab/>
              <w:t>2</w:t>
            </w:r>
          </w:hyperlink>
        </w:p>
        <w:p w14:paraId="1975ECFC" w14:textId="77777777" w:rsidR="00F37E0E" w:rsidRDefault="00000000">
          <w:pPr>
            <w:widowControl w:val="0"/>
            <w:tabs>
              <w:tab w:val="right" w:leader="dot" w:pos="12000"/>
            </w:tabs>
            <w:spacing w:before="60" w:after="0"/>
            <w:jc w:val="left"/>
            <w:rPr>
              <w:b/>
              <w:color w:val="000000"/>
              <w:sz w:val="22"/>
              <w:szCs w:val="22"/>
            </w:rPr>
          </w:pPr>
          <w:hyperlink w:anchor="_bgorfx1leg3h">
            <w:r>
              <w:rPr>
                <w:rFonts w:ascii="Google Sans" w:eastAsia="Google Sans" w:hAnsi="Google Sans" w:cs="Google Sans"/>
                <w:color w:val="000000"/>
                <w:sz w:val="22"/>
                <w:szCs w:val="22"/>
              </w:rPr>
              <w:t>Aperçu du projet</w:t>
            </w:r>
            <w:r>
              <w:rPr>
                <w:rFonts w:ascii="Google Sans" w:eastAsia="Google Sans" w:hAnsi="Google Sans" w:cs="Google Sans"/>
                <w:color w:val="000000"/>
                <w:sz w:val="22"/>
                <w:szCs w:val="22"/>
              </w:rPr>
              <w:tab/>
              <w:t>3</w:t>
            </w:r>
          </w:hyperlink>
        </w:p>
        <w:p w14:paraId="5C114B39" w14:textId="77777777" w:rsidR="00F37E0E" w:rsidRDefault="00000000">
          <w:pPr>
            <w:widowControl w:val="0"/>
            <w:tabs>
              <w:tab w:val="right" w:leader="dot" w:pos="12000"/>
            </w:tabs>
            <w:spacing w:before="60" w:after="0"/>
            <w:jc w:val="left"/>
            <w:rPr>
              <w:b/>
              <w:color w:val="000000"/>
              <w:sz w:val="22"/>
              <w:szCs w:val="22"/>
            </w:rPr>
          </w:pPr>
          <w:hyperlink w:anchor="_3znysh7">
            <w:r>
              <w:rPr>
                <w:rFonts w:ascii="Google Sans" w:eastAsia="Google Sans" w:hAnsi="Google Sans" w:cs="Google Sans"/>
                <w:color w:val="000000"/>
                <w:sz w:val="22"/>
                <w:szCs w:val="22"/>
              </w:rPr>
              <w:t>Connaissances antérieures</w:t>
            </w:r>
            <w:r>
              <w:rPr>
                <w:rFonts w:ascii="Google Sans" w:eastAsia="Google Sans" w:hAnsi="Google Sans" w:cs="Google Sans"/>
                <w:color w:val="000000"/>
                <w:sz w:val="22"/>
                <w:szCs w:val="22"/>
              </w:rPr>
              <w:tab/>
              <w:t>3</w:t>
            </w:r>
          </w:hyperlink>
        </w:p>
        <w:p w14:paraId="1E7FB515" w14:textId="77777777" w:rsidR="00F37E0E" w:rsidRDefault="00000000">
          <w:pPr>
            <w:widowControl w:val="0"/>
            <w:tabs>
              <w:tab w:val="right" w:leader="dot" w:pos="12000"/>
            </w:tabs>
            <w:spacing w:before="60" w:after="0"/>
            <w:jc w:val="left"/>
            <w:rPr>
              <w:b/>
              <w:color w:val="000000"/>
              <w:sz w:val="22"/>
              <w:szCs w:val="22"/>
            </w:rPr>
          </w:pPr>
          <w:hyperlink w:anchor="_17dp8vu">
            <w:r>
              <w:rPr>
                <w:rFonts w:ascii="Google Sans" w:eastAsia="Google Sans" w:hAnsi="Google Sans" w:cs="Google Sans"/>
                <w:color w:val="000000"/>
                <w:sz w:val="22"/>
                <w:szCs w:val="22"/>
              </w:rPr>
              <w:t>Notes de planification/Ressources</w:t>
            </w:r>
            <w:r>
              <w:rPr>
                <w:rFonts w:ascii="Google Sans" w:eastAsia="Google Sans" w:hAnsi="Google Sans" w:cs="Google Sans"/>
                <w:color w:val="000000"/>
                <w:sz w:val="22"/>
                <w:szCs w:val="22"/>
              </w:rPr>
              <w:tab/>
              <w:t>3</w:t>
            </w:r>
          </w:hyperlink>
        </w:p>
        <w:p w14:paraId="2452A545" w14:textId="77777777" w:rsidR="00F37E0E" w:rsidRDefault="00000000">
          <w:pPr>
            <w:widowControl w:val="0"/>
            <w:tabs>
              <w:tab w:val="right" w:leader="dot" w:pos="12000"/>
            </w:tabs>
            <w:spacing w:before="60" w:after="0"/>
            <w:jc w:val="left"/>
            <w:rPr>
              <w:b/>
              <w:color w:val="000000"/>
              <w:sz w:val="22"/>
              <w:szCs w:val="22"/>
            </w:rPr>
          </w:pPr>
          <w:hyperlink w:anchor="_2bktrc5iejvn">
            <w:r>
              <w:rPr>
                <w:rFonts w:ascii="Google Sans" w:eastAsia="Google Sans" w:hAnsi="Google Sans" w:cs="Google Sans"/>
                <w:color w:val="000000"/>
                <w:sz w:val="22"/>
                <w:szCs w:val="22"/>
              </w:rPr>
              <w:t>Autres ressources</w:t>
            </w:r>
            <w:r>
              <w:rPr>
                <w:rFonts w:ascii="Google Sans" w:eastAsia="Google Sans" w:hAnsi="Google Sans" w:cs="Google Sans"/>
                <w:color w:val="000000"/>
                <w:sz w:val="22"/>
                <w:szCs w:val="22"/>
              </w:rPr>
              <w:tab/>
              <w:t>5</w:t>
            </w:r>
          </w:hyperlink>
        </w:p>
        <w:p w14:paraId="119B1C37" w14:textId="77777777" w:rsidR="00F37E0E" w:rsidRDefault="00000000">
          <w:pPr>
            <w:widowControl w:val="0"/>
            <w:tabs>
              <w:tab w:val="right" w:leader="dot" w:pos="12000"/>
            </w:tabs>
            <w:spacing w:before="60" w:after="0"/>
            <w:jc w:val="left"/>
            <w:rPr>
              <w:b/>
              <w:color w:val="000000"/>
              <w:sz w:val="22"/>
              <w:szCs w:val="22"/>
            </w:rPr>
          </w:pPr>
          <w:hyperlink w:anchor="_2bn6wsx">
            <w:r>
              <w:rPr>
                <w:rFonts w:ascii="Google Sans" w:eastAsia="Google Sans" w:hAnsi="Google Sans" w:cs="Google Sans"/>
                <w:color w:val="000000"/>
                <w:sz w:val="22"/>
                <w:szCs w:val="22"/>
              </w:rPr>
              <w:t>Préoccupations et attentes liées à la santé et la sécurité</w:t>
            </w:r>
            <w:r>
              <w:rPr>
                <w:rFonts w:ascii="Google Sans" w:eastAsia="Google Sans" w:hAnsi="Google Sans" w:cs="Google Sans"/>
                <w:color w:val="000000"/>
                <w:sz w:val="22"/>
                <w:szCs w:val="22"/>
              </w:rPr>
              <w:tab/>
              <w:t>5</w:t>
            </w:r>
          </w:hyperlink>
        </w:p>
        <w:p w14:paraId="06961CC9" w14:textId="77777777" w:rsidR="00F37E0E" w:rsidRDefault="00000000">
          <w:pPr>
            <w:widowControl w:val="0"/>
            <w:tabs>
              <w:tab w:val="right" w:leader="dot" w:pos="12000"/>
            </w:tabs>
            <w:spacing w:before="60" w:after="0"/>
            <w:jc w:val="left"/>
            <w:rPr>
              <w:b/>
              <w:color w:val="000000"/>
              <w:sz w:val="22"/>
              <w:szCs w:val="22"/>
            </w:rPr>
          </w:pPr>
          <w:hyperlink w:anchor="_deknad46up5j">
            <w:r>
              <w:rPr>
                <w:rFonts w:ascii="Google Sans" w:eastAsia="Google Sans" w:hAnsi="Google Sans" w:cs="Google Sans"/>
                <w:color w:val="000000"/>
                <w:sz w:val="22"/>
                <w:szCs w:val="22"/>
              </w:rPr>
              <w:t>Évaluation du rendement de l’élève</w:t>
            </w:r>
            <w:r>
              <w:rPr>
                <w:rFonts w:ascii="Google Sans" w:eastAsia="Google Sans" w:hAnsi="Google Sans" w:cs="Google Sans"/>
                <w:color w:val="000000"/>
                <w:sz w:val="22"/>
                <w:szCs w:val="22"/>
              </w:rPr>
              <w:tab/>
              <w:t>6</w:t>
            </w:r>
          </w:hyperlink>
        </w:p>
        <w:p w14:paraId="47DB0457" w14:textId="77777777" w:rsidR="00F37E0E" w:rsidRDefault="00000000">
          <w:pPr>
            <w:widowControl w:val="0"/>
            <w:tabs>
              <w:tab w:val="right" w:leader="dot" w:pos="12000"/>
            </w:tabs>
            <w:spacing w:before="60" w:after="0"/>
            <w:jc w:val="left"/>
            <w:rPr>
              <w:rFonts w:ascii="Google Sans" w:eastAsia="Google Sans" w:hAnsi="Google Sans" w:cs="Google Sans"/>
              <w:color w:val="000000"/>
              <w:sz w:val="22"/>
              <w:szCs w:val="22"/>
            </w:rPr>
          </w:pPr>
          <w:hyperlink w:anchor="_6xukaywt6252">
            <w:r>
              <w:rPr>
                <w:rFonts w:ascii="Google Sans" w:eastAsia="Google Sans" w:hAnsi="Google Sans" w:cs="Google Sans"/>
                <w:color w:val="000000"/>
                <w:sz w:val="22"/>
                <w:szCs w:val="22"/>
              </w:rPr>
              <w:t>Le curriculum de l'Ontario, 9e et 10e année, Éducation technologique, 2009</w:t>
            </w:r>
            <w:r>
              <w:rPr>
                <w:rFonts w:ascii="Google Sans" w:eastAsia="Google Sans" w:hAnsi="Google Sans" w:cs="Google Sans"/>
                <w:color w:val="000000"/>
                <w:sz w:val="22"/>
                <w:szCs w:val="22"/>
              </w:rPr>
              <w:tab/>
              <w:t>7</w:t>
            </w:r>
          </w:hyperlink>
        </w:p>
        <w:p w14:paraId="384255B9" w14:textId="77777777" w:rsidR="00F37E0E" w:rsidRDefault="00000000">
          <w:pPr>
            <w:widowControl w:val="0"/>
            <w:tabs>
              <w:tab w:val="right" w:leader="dot" w:pos="12000"/>
            </w:tabs>
            <w:spacing w:before="60" w:after="0"/>
            <w:ind w:left="360"/>
            <w:jc w:val="left"/>
            <w:rPr>
              <w:color w:val="000000"/>
              <w:sz w:val="22"/>
              <w:szCs w:val="22"/>
            </w:rPr>
          </w:pPr>
          <w:hyperlink w:anchor="_7qcnyi2jpywt">
            <w:r>
              <w:rPr>
                <w:rFonts w:ascii="Google Sans" w:eastAsia="Google Sans" w:hAnsi="Google Sans" w:cs="Google Sans"/>
                <w:color w:val="000000"/>
                <w:sz w:val="22"/>
                <w:szCs w:val="22"/>
              </w:rPr>
              <w:t>Attentes du cours TCJ 2O, Technologie de la construction</w:t>
            </w:r>
            <w:r>
              <w:rPr>
                <w:rFonts w:ascii="Google Sans" w:eastAsia="Google Sans" w:hAnsi="Google Sans" w:cs="Google Sans"/>
                <w:color w:val="000000"/>
                <w:sz w:val="22"/>
                <w:szCs w:val="22"/>
              </w:rPr>
              <w:tab/>
              <w:t>7</w:t>
            </w:r>
          </w:hyperlink>
        </w:p>
        <w:p w14:paraId="63DF650F" w14:textId="77777777" w:rsidR="00F37E0E" w:rsidRDefault="00000000">
          <w:pPr>
            <w:widowControl w:val="0"/>
            <w:tabs>
              <w:tab w:val="right" w:leader="dot" w:pos="12000"/>
            </w:tabs>
            <w:spacing w:before="60" w:after="0"/>
            <w:ind w:left="360"/>
            <w:jc w:val="left"/>
            <w:rPr>
              <w:color w:val="000000"/>
              <w:sz w:val="22"/>
              <w:szCs w:val="22"/>
            </w:rPr>
          </w:pPr>
          <w:hyperlink w:anchor="_t6fj3ohuwd2t">
            <w:r>
              <w:rPr>
                <w:rFonts w:ascii="Google Sans" w:eastAsia="Google Sans" w:hAnsi="Google Sans" w:cs="Google Sans"/>
                <w:color w:val="000000"/>
                <w:sz w:val="22"/>
                <w:szCs w:val="22"/>
              </w:rPr>
              <w:t>Attentes du cours TMJ 2O, Technologie de la fabrication</w:t>
            </w:r>
            <w:r>
              <w:rPr>
                <w:rFonts w:ascii="Google Sans" w:eastAsia="Google Sans" w:hAnsi="Google Sans" w:cs="Google Sans"/>
                <w:color w:val="000000"/>
                <w:sz w:val="22"/>
                <w:szCs w:val="22"/>
              </w:rPr>
              <w:tab/>
              <w:t>7</w:t>
            </w:r>
          </w:hyperlink>
        </w:p>
        <w:p w14:paraId="0C34DBE6" w14:textId="77777777" w:rsidR="00F37E0E" w:rsidRDefault="00000000">
          <w:pPr>
            <w:widowControl w:val="0"/>
            <w:tabs>
              <w:tab w:val="right" w:leader="dot" w:pos="12000"/>
            </w:tabs>
            <w:spacing w:before="60" w:after="0"/>
            <w:jc w:val="left"/>
            <w:rPr>
              <w:b/>
              <w:color w:val="000000"/>
              <w:sz w:val="22"/>
              <w:szCs w:val="22"/>
            </w:rPr>
          </w:pPr>
          <w:hyperlink w:anchor="_3as4poj">
            <w:r>
              <w:rPr>
                <w:rFonts w:ascii="Google Sans" w:eastAsia="Google Sans" w:hAnsi="Google Sans" w:cs="Google Sans"/>
                <w:color w:val="000000"/>
                <w:sz w:val="22"/>
                <w:szCs w:val="22"/>
              </w:rPr>
              <w:t>Différenciation pédagogique</w:t>
            </w:r>
            <w:r>
              <w:rPr>
                <w:rFonts w:ascii="Google Sans" w:eastAsia="Google Sans" w:hAnsi="Google Sans" w:cs="Google Sans"/>
                <w:color w:val="000000"/>
                <w:sz w:val="22"/>
                <w:szCs w:val="22"/>
              </w:rPr>
              <w:tab/>
              <w:t>7</w:t>
            </w:r>
          </w:hyperlink>
          <w:r>
            <w:fldChar w:fldCharType="end"/>
          </w:r>
        </w:p>
      </w:sdtContent>
    </w:sdt>
    <w:p w14:paraId="62E4CC29" w14:textId="77777777" w:rsidR="00F37E0E" w:rsidRDefault="00F37E0E">
      <w:pPr>
        <w:pStyle w:val="Heading1"/>
        <w:rPr>
          <w:rFonts w:ascii="Google Sans" w:eastAsia="Google Sans" w:hAnsi="Google Sans" w:cs="Google Sans"/>
          <w:sz w:val="18"/>
          <w:szCs w:val="18"/>
        </w:rPr>
      </w:pPr>
      <w:bookmarkStart w:id="0" w:name="_4oq5m2fgijqb" w:colFirst="0" w:colLast="0"/>
      <w:bookmarkEnd w:id="0"/>
    </w:p>
    <w:p w14:paraId="7E793747" w14:textId="77777777" w:rsidR="00F37E0E" w:rsidRDefault="00000000">
      <w:pPr>
        <w:pStyle w:val="Heading1"/>
        <w:rPr>
          <w:rFonts w:ascii="Google Sans" w:eastAsia="Google Sans" w:hAnsi="Google Sans" w:cs="Google Sans"/>
        </w:rPr>
      </w:pPr>
      <w:bookmarkStart w:id="1" w:name="_frmasc1nja30" w:colFirst="0" w:colLast="0"/>
      <w:bookmarkEnd w:id="1"/>
      <w:r>
        <w:rPr>
          <w:rFonts w:ascii="Google Sans" w:eastAsia="Google Sans" w:hAnsi="Google Sans" w:cs="Google Sans"/>
        </w:rPr>
        <w:t>Le ROIV</w:t>
      </w:r>
    </w:p>
    <w:p w14:paraId="0B4A9EB3" w14:textId="77777777" w:rsidR="00F37E0E" w:rsidRDefault="00000000">
      <w:pPr>
        <w:rPr>
          <w:rFonts w:ascii="Google Sans" w:eastAsia="Google Sans" w:hAnsi="Google Sans" w:cs="Google Sans"/>
        </w:rPr>
      </w:pPr>
      <w:r>
        <w:rPr>
          <w:rFonts w:ascii="Google Sans" w:eastAsia="Google Sans" w:hAnsi="Google Sans" w:cs="Google Sans"/>
        </w:rPr>
        <w:t xml:space="preserve">Le secteur de l’automobile et de la mobilité est en pleine évolution grâce aux progrès technologiques majeurs qui promettent de révolutionner non seulement nos modes de déplacement, mais aussi le transport de marchandises, l'exploration minière et même l'ensemble du secteur manufacturier. Grâce au Réseau ontarien d'innovation pour les véhicules (ROIV), l'Ontario est à l'avant-garde de cette transformation. Le ROIV tire parti du potentiel économique en stimulant les avancées technologiques grâce à des investissements dans des solutions novatrices, parmi lesquelles figurent les véhicules intelligents, les véhicules autonomes et les réseaux de transport électriques. Parallèlement, il soutient également la vision provinciale qui vise à améliorer le système de transport en modernisant les infrastructures, tout en trouvant des solutions de rechange pour contrer la dépendance aux énergies fossiles. </w:t>
      </w:r>
    </w:p>
    <w:p w14:paraId="48B6EEE7" w14:textId="77777777" w:rsidR="00F37E0E" w:rsidRDefault="00000000">
      <w:pPr>
        <w:numPr>
          <w:ilvl w:val="0"/>
          <w:numId w:val="6"/>
        </w:numPr>
        <w:spacing w:after="0" w:line="276" w:lineRule="auto"/>
        <w:jc w:val="left"/>
        <w:rPr>
          <w:rFonts w:ascii="Google Sans" w:eastAsia="Google Sans" w:hAnsi="Google Sans" w:cs="Google Sans"/>
        </w:rPr>
      </w:pPr>
      <w:hyperlink r:id="rId9">
        <w:r>
          <w:rPr>
            <w:rFonts w:ascii="Google Sans" w:eastAsia="Google Sans" w:hAnsi="Google Sans" w:cs="Google Sans"/>
            <w:color w:val="1155CC"/>
            <w:u w:val="single"/>
          </w:rPr>
          <w:t>Aperçu du secteur</w:t>
        </w:r>
      </w:hyperlink>
      <w:r>
        <w:rPr>
          <w:rFonts w:ascii="Google Sans" w:eastAsia="Google Sans" w:hAnsi="Google Sans" w:cs="Google Sans"/>
        </w:rPr>
        <w:t xml:space="preserve"> (site web ROIV)</w:t>
      </w:r>
    </w:p>
    <w:p w14:paraId="2CF7DE66" w14:textId="77777777" w:rsidR="00F37E0E" w:rsidRDefault="00000000">
      <w:pPr>
        <w:numPr>
          <w:ilvl w:val="0"/>
          <w:numId w:val="6"/>
        </w:numPr>
        <w:spacing w:after="0" w:line="276" w:lineRule="auto"/>
        <w:jc w:val="left"/>
        <w:rPr>
          <w:rFonts w:ascii="Google Sans" w:eastAsia="Google Sans" w:hAnsi="Google Sans" w:cs="Google Sans"/>
        </w:rPr>
      </w:pPr>
      <w:hyperlink r:id="rId10">
        <w:r>
          <w:rPr>
            <w:rFonts w:ascii="Google Sans" w:eastAsia="Google Sans" w:hAnsi="Google Sans" w:cs="Google Sans"/>
            <w:color w:val="1155CC"/>
            <w:u w:val="single"/>
          </w:rPr>
          <w:t>COMMUNIQUÉ :  L’Ontario lance une initiative phare pour diriger la mise au point de technologies pour véhicules électriques et de transport intelligent</w:t>
        </w:r>
      </w:hyperlink>
    </w:p>
    <w:p w14:paraId="3C1BB7A9" w14:textId="77777777" w:rsidR="00F37E0E" w:rsidRDefault="00000000">
      <w:pPr>
        <w:numPr>
          <w:ilvl w:val="0"/>
          <w:numId w:val="6"/>
        </w:numPr>
        <w:spacing w:after="0" w:line="276" w:lineRule="auto"/>
        <w:jc w:val="left"/>
        <w:rPr>
          <w:rFonts w:ascii="Google Sans" w:eastAsia="Google Sans" w:hAnsi="Google Sans" w:cs="Google Sans"/>
        </w:rPr>
      </w:pPr>
      <w:hyperlink r:id="rId11">
        <w:r>
          <w:rPr>
            <w:rFonts w:ascii="Google Sans" w:eastAsia="Google Sans" w:hAnsi="Google Sans" w:cs="Google Sans"/>
            <w:color w:val="1155CC"/>
            <w:u w:val="single"/>
          </w:rPr>
          <w:t>Diriger la transformation des secteurs de l’automobile et de la mobilité en Ontario</w:t>
        </w:r>
      </w:hyperlink>
      <w:r>
        <w:rPr>
          <w:rFonts w:ascii="Google Sans" w:eastAsia="Google Sans" w:hAnsi="Google Sans" w:cs="Google Sans"/>
        </w:rPr>
        <w:t xml:space="preserve"> (site web ROIV)</w:t>
      </w:r>
    </w:p>
    <w:p w14:paraId="0E61A89D" w14:textId="77777777" w:rsidR="00F37E0E" w:rsidRDefault="00000000">
      <w:pPr>
        <w:numPr>
          <w:ilvl w:val="0"/>
          <w:numId w:val="6"/>
        </w:numPr>
        <w:spacing w:after="0" w:line="276" w:lineRule="auto"/>
        <w:jc w:val="left"/>
        <w:rPr>
          <w:rFonts w:ascii="Google Sans" w:eastAsia="Google Sans" w:hAnsi="Google Sans" w:cs="Google Sans"/>
        </w:rPr>
      </w:pPr>
      <w:hyperlink r:id="rId12">
        <w:r>
          <w:rPr>
            <w:rFonts w:ascii="Google Sans" w:eastAsia="Google Sans" w:hAnsi="Google Sans" w:cs="Google Sans"/>
            <w:color w:val="1155CC"/>
            <w:u w:val="single"/>
          </w:rPr>
          <w:t>Supporting Ontario's Automotive &amp; Mobility Sector | OVIN's Talent Strategy &amp; Roadmap</w:t>
        </w:r>
      </w:hyperlink>
      <w:r>
        <w:rPr>
          <w:rFonts w:ascii="Google Sans" w:eastAsia="Google Sans" w:hAnsi="Google Sans" w:cs="Google Sans"/>
        </w:rPr>
        <w:t xml:space="preserve"> </w:t>
      </w:r>
    </w:p>
    <w:p w14:paraId="538E36D2" w14:textId="77777777" w:rsidR="00F37E0E" w:rsidRDefault="00F37E0E">
      <w:pPr>
        <w:rPr>
          <w:rFonts w:ascii="Google Sans" w:eastAsia="Google Sans" w:hAnsi="Google Sans" w:cs="Google Sans"/>
          <w:i/>
        </w:rPr>
      </w:pPr>
    </w:p>
    <w:p w14:paraId="11DA0171" w14:textId="77777777" w:rsidR="00F37E0E" w:rsidRDefault="00000000">
      <w:pPr>
        <w:pStyle w:val="Heading1"/>
        <w:spacing w:before="0" w:after="0"/>
        <w:rPr>
          <w:rFonts w:ascii="Google Sans" w:eastAsia="Google Sans" w:hAnsi="Google Sans" w:cs="Google Sans"/>
        </w:rPr>
      </w:pPr>
      <w:bookmarkStart w:id="2" w:name="_rqujhphd2bvu" w:colFirst="0" w:colLast="0"/>
      <w:bookmarkEnd w:id="2"/>
      <w:r>
        <w:rPr>
          <w:rFonts w:ascii="Google Sans" w:eastAsia="Google Sans" w:hAnsi="Google Sans" w:cs="Google Sans"/>
        </w:rPr>
        <w:lastRenderedPageBreak/>
        <w:t>Outilleurs/ajusteurs et machinistes et vérificateurs/vérificatrices d’usinage et d’outillage : Construction de blocs de précision</w:t>
      </w:r>
    </w:p>
    <w:p w14:paraId="7375F5C8" w14:textId="77777777" w:rsidR="00F37E0E" w:rsidRDefault="00000000">
      <w:pPr>
        <w:pStyle w:val="Heading3"/>
        <w:rPr>
          <w:rFonts w:ascii="Google Sans" w:eastAsia="Google Sans" w:hAnsi="Google Sans" w:cs="Google Sans"/>
        </w:rPr>
      </w:pPr>
      <w:bookmarkStart w:id="3" w:name="_4ouxxpi8vcx5" w:colFirst="0" w:colLast="0"/>
      <w:bookmarkEnd w:id="3"/>
      <w:r>
        <w:rPr>
          <w:rFonts w:ascii="Google Sans" w:eastAsia="Google Sans" w:hAnsi="Google Sans" w:cs="Google Sans"/>
        </w:rPr>
        <w:t>Introduction</w:t>
      </w:r>
    </w:p>
    <w:p w14:paraId="0F630088" w14:textId="77777777" w:rsidR="00F37E0E" w:rsidRDefault="00F37E0E">
      <w:pPr>
        <w:spacing w:after="0"/>
        <w:rPr>
          <w:rFonts w:ascii="Google Sans" w:eastAsia="Google Sans" w:hAnsi="Google Sans" w:cs="Google Sans"/>
        </w:rPr>
      </w:pPr>
    </w:p>
    <w:p w14:paraId="64181315" w14:textId="77777777" w:rsidR="00F37E0E" w:rsidRDefault="00000000">
      <w:pPr>
        <w:rPr>
          <w:rFonts w:ascii="Google Sans" w:eastAsia="Google Sans" w:hAnsi="Google Sans" w:cs="Google Sans"/>
        </w:rPr>
      </w:pPr>
      <w:r>
        <w:rPr>
          <w:rFonts w:ascii="Google Sans" w:eastAsia="Google Sans" w:hAnsi="Google Sans" w:cs="Google Sans"/>
        </w:rPr>
        <w:t>Chaque année, des millions de voitures, de camions et de VUS sont fabriqués au Canada. En 2019, c’est plus de 2 millions de véhicules qui y ont été fabriqués ici et plus de 75 millions dans le monde. Plus de 1,5 million de ces véhicules ont été achetés au Canada.</w:t>
      </w:r>
    </w:p>
    <w:p w14:paraId="0AA0F6E1" w14:textId="77777777" w:rsidR="00F37E0E" w:rsidRDefault="00000000">
      <w:pPr>
        <w:rPr>
          <w:rFonts w:ascii="Google Sans" w:eastAsia="Google Sans" w:hAnsi="Google Sans" w:cs="Google Sans"/>
        </w:rPr>
      </w:pPr>
      <w:r>
        <w:rPr>
          <w:rFonts w:ascii="Google Sans" w:eastAsia="Google Sans" w:hAnsi="Google Sans" w:cs="Google Sans"/>
        </w:rPr>
        <w:t>En moyenne, chacun de ces véhicules compte 30 000 pièces, des plus petites vis jusqu’au bloc moteur de 45 livres. Cela signifie que plus de 2 000 milliards de pièces automobiles sont fabriquées chaque année pour répondre à la demande.</w:t>
      </w:r>
    </w:p>
    <w:p w14:paraId="5C2BDEF1" w14:textId="77777777" w:rsidR="00F37E0E" w:rsidRDefault="00000000">
      <w:pPr>
        <w:rPr>
          <w:rFonts w:ascii="Google Sans" w:eastAsia="Google Sans" w:hAnsi="Google Sans" w:cs="Google Sans"/>
        </w:rPr>
      </w:pPr>
      <w:r>
        <w:rPr>
          <w:rFonts w:ascii="Google Sans" w:eastAsia="Google Sans" w:hAnsi="Google Sans" w:cs="Google Sans"/>
        </w:rPr>
        <w:t>Le Canada est l'un des 12 plus grands producteurs de véhicules au monde.</w:t>
      </w:r>
    </w:p>
    <w:p w14:paraId="1A14AF27" w14:textId="77777777" w:rsidR="00F37E0E" w:rsidRDefault="00000000">
      <w:pPr>
        <w:rPr>
          <w:rFonts w:ascii="Google Sans" w:eastAsia="Google Sans" w:hAnsi="Google Sans" w:cs="Google Sans"/>
          <w:sz w:val="26"/>
          <w:szCs w:val="26"/>
        </w:rPr>
      </w:pPr>
      <w:r>
        <w:rPr>
          <w:rFonts w:ascii="Google Sans" w:eastAsia="Google Sans" w:hAnsi="Google Sans" w:cs="Google Sans"/>
        </w:rPr>
        <w:t xml:space="preserve">L'industrie automobile est le plus grand marché pour les pièces usinées de précision depuis des décennies. L'industrie automobile nécessite de grandes quantités de pièces et doit maintenir des normes strictes dans le domaine de l’usinage de précision.  </w:t>
      </w:r>
      <w:r>
        <w:rPr>
          <w:rFonts w:ascii="Google Sans" w:eastAsia="Google Sans" w:hAnsi="Google Sans" w:cs="Google Sans"/>
          <w:sz w:val="26"/>
          <w:szCs w:val="26"/>
        </w:rPr>
        <w:t xml:space="preserve"> </w:t>
      </w:r>
    </w:p>
    <w:p w14:paraId="2690185A" w14:textId="77777777" w:rsidR="00F37E0E" w:rsidRDefault="00000000">
      <w:pPr>
        <w:pStyle w:val="Heading3"/>
        <w:rPr>
          <w:rFonts w:ascii="Google Sans" w:eastAsia="Google Sans" w:hAnsi="Google Sans" w:cs="Google Sans"/>
        </w:rPr>
      </w:pPr>
      <w:bookmarkStart w:id="4" w:name="_u0wpikeolmwd" w:colFirst="0" w:colLast="0"/>
      <w:bookmarkEnd w:id="4"/>
      <w:r>
        <w:rPr>
          <w:rFonts w:ascii="Google Sans" w:eastAsia="Google Sans" w:hAnsi="Google Sans" w:cs="Google Sans"/>
        </w:rPr>
        <w:t>Qui fabrique ces pièces et comment?</w:t>
      </w:r>
    </w:p>
    <w:p w14:paraId="0102FC7B" w14:textId="77777777" w:rsidR="00F37E0E" w:rsidRDefault="00F37E0E">
      <w:pPr>
        <w:spacing w:after="0"/>
        <w:rPr>
          <w:rFonts w:ascii="Google Sans" w:eastAsia="Google Sans" w:hAnsi="Google Sans" w:cs="Google Sans"/>
        </w:rPr>
      </w:pPr>
    </w:p>
    <w:p w14:paraId="6A9CAE9B" w14:textId="77777777" w:rsidR="00F37E0E" w:rsidRDefault="00000000">
      <w:pPr>
        <w:rPr>
          <w:rFonts w:ascii="Google Sans" w:eastAsia="Google Sans" w:hAnsi="Google Sans" w:cs="Google Sans"/>
        </w:rPr>
      </w:pPr>
      <w:r>
        <w:rPr>
          <w:rFonts w:ascii="Google Sans" w:eastAsia="Google Sans" w:hAnsi="Google Sans" w:cs="Google Sans"/>
        </w:rPr>
        <w:t xml:space="preserve">L'industrie automobile n'est que l'une des nombreuses industries qui nécessitent un usinage de précision. Les outilleurs/ajusteurs et les machinistes et les vérificateurs/vérificatrices d’usinage et d’outillage travaillent dans l’usinage de précision.  </w:t>
      </w:r>
    </w:p>
    <w:p w14:paraId="17E36BCB" w14:textId="77777777" w:rsidR="00F37E0E" w:rsidRDefault="00000000">
      <w:pPr>
        <w:rPr>
          <w:rFonts w:ascii="Google Sans" w:eastAsia="Google Sans" w:hAnsi="Google Sans" w:cs="Google Sans"/>
        </w:rPr>
      </w:pPr>
      <w:r>
        <w:rPr>
          <w:rFonts w:ascii="Google Sans" w:eastAsia="Google Sans" w:hAnsi="Google Sans" w:cs="Google Sans"/>
        </w:rPr>
        <w:t>Ce projet permettra aux élèves d’explorer certains aspects du métier d’outilleurs/ajusteurs et/ou de machinistes et vérificateurs/vérificatrices d’usinage et d’outillage. La construction des blocs leur permettra d’apprendre par l’expérience. Dans la dernière partie de ce projet, les élèves feront un survol des différentes carrières en usinage et les parcours postsecondaires pour trouver leur place dans ces métiers intéressants.</w:t>
      </w:r>
    </w:p>
    <w:p w14:paraId="0AAB16E0" w14:textId="77777777" w:rsidR="00F37E0E" w:rsidRDefault="00000000">
      <w:pPr>
        <w:rPr>
          <w:rFonts w:ascii="Google Sans" w:eastAsia="Google Sans" w:hAnsi="Google Sans" w:cs="Google Sans"/>
          <w:sz w:val="22"/>
          <w:szCs w:val="22"/>
        </w:rPr>
      </w:pPr>
      <w:r>
        <w:rPr>
          <w:rFonts w:ascii="Google Sans" w:eastAsia="Google Sans" w:hAnsi="Google Sans" w:cs="Google Sans"/>
        </w:rPr>
        <w:t>Les métiers spécialisés sont en forte demande en Ontario et ailleurs. C’est pour cette raison qu’il sera bénéfique pour les élèves d’en apprendre davantage sur les carrières mentionnées ci-dessus.</w:t>
      </w:r>
      <w:r>
        <w:rPr>
          <w:rFonts w:ascii="Google Sans" w:eastAsia="Google Sans" w:hAnsi="Google Sans" w:cs="Google Sans"/>
          <w:sz w:val="22"/>
          <w:szCs w:val="22"/>
        </w:rPr>
        <w:t xml:space="preserve">  </w:t>
      </w:r>
    </w:p>
    <w:p w14:paraId="609957D4" w14:textId="77777777" w:rsidR="00F37E0E" w:rsidRDefault="00F37E0E">
      <w:pPr>
        <w:rPr>
          <w:rFonts w:ascii="Google Sans" w:eastAsia="Google Sans" w:hAnsi="Google Sans" w:cs="Google Sans"/>
        </w:rPr>
      </w:pPr>
    </w:p>
    <w:p w14:paraId="75CB52A7" w14:textId="77777777" w:rsidR="00F37E0E" w:rsidRDefault="00000000">
      <w:pPr>
        <w:pStyle w:val="Heading1"/>
        <w:rPr>
          <w:rFonts w:ascii="Google Sans" w:eastAsia="Google Sans" w:hAnsi="Google Sans" w:cs="Google Sans"/>
        </w:rPr>
      </w:pPr>
      <w:bookmarkStart w:id="5" w:name="_bgorfx1leg3h" w:colFirst="0" w:colLast="0"/>
      <w:bookmarkEnd w:id="5"/>
      <w:r>
        <w:rPr>
          <w:rFonts w:ascii="Google Sans" w:eastAsia="Google Sans" w:hAnsi="Google Sans" w:cs="Google Sans"/>
        </w:rPr>
        <w:lastRenderedPageBreak/>
        <w:t>Aperçu du projet</w:t>
      </w:r>
    </w:p>
    <w:p w14:paraId="142ECD6D" w14:textId="77777777" w:rsidR="00F37E0E" w:rsidRDefault="00000000">
      <w:pPr>
        <w:rPr>
          <w:rFonts w:ascii="Google Sans" w:eastAsia="Google Sans" w:hAnsi="Google Sans" w:cs="Google Sans"/>
        </w:rPr>
      </w:pPr>
      <w:r>
        <w:rPr>
          <w:rFonts w:ascii="Google Sans" w:eastAsia="Google Sans" w:hAnsi="Google Sans" w:cs="Google Sans"/>
        </w:rPr>
        <w:t xml:space="preserve">Ce projet permet à l’élève de faire un survol de quelques métiers spécialisés par l’entremise des activités suivantes : </w:t>
      </w:r>
    </w:p>
    <w:p w14:paraId="628B92B5" w14:textId="77777777" w:rsidR="00F37E0E" w:rsidRDefault="00000000">
      <w:pPr>
        <w:spacing w:after="0"/>
        <w:rPr>
          <w:rFonts w:ascii="Google Sans" w:eastAsia="Google Sans" w:hAnsi="Google Sans" w:cs="Google Sans"/>
        </w:rPr>
      </w:pPr>
      <w:r>
        <w:rPr>
          <w:rFonts w:ascii="Google Sans" w:eastAsia="Google Sans" w:hAnsi="Google Sans" w:cs="Google Sans"/>
        </w:rPr>
        <w:t>Activité 1 : Dessin en projection orthogonale des blocs et des trous.</w:t>
      </w:r>
    </w:p>
    <w:p w14:paraId="1F8807DE" w14:textId="77777777" w:rsidR="00F37E0E" w:rsidRDefault="00000000">
      <w:pPr>
        <w:spacing w:after="0"/>
        <w:rPr>
          <w:rFonts w:ascii="Google Sans" w:eastAsia="Google Sans" w:hAnsi="Google Sans" w:cs="Google Sans"/>
        </w:rPr>
      </w:pPr>
      <w:r>
        <w:rPr>
          <w:rFonts w:ascii="Google Sans" w:eastAsia="Google Sans" w:hAnsi="Google Sans" w:cs="Google Sans"/>
        </w:rPr>
        <w:t xml:space="preserve">Activité 2 : Traçage des blocs et usinage des grandeurs. </w:t>
      </w:r>
    </w:p>
    <w:p w14:paraId="40A28885" w14:textId="77777777" w:rsidR="00F37E0E" w:rsidRDefault="00000000">
      <w:pPr>
        <w:spacing w:after="0"/>
        <w:rPr>
          <w:rFonts w:ascii="Google Sans" w:eastAsia="Google Sans" w:hAnsi="Google Sans" w:cs="Google Sans"/>
        </w:rPr>
      </w:pPr>
      <w:r>
        <w:rPr>
          <w:rFonts w:ascii="Google Sans" w:eastAsia="Google Sans" w:hAnsi="Google Sans" w:cs="Google Sans"/>
        </w:rPr>
        <w:t>Activité 3 : Recherche sur les différents parcours postsecondaires vers les métiers en usinage.</w:t>
      </w:r>
    </w:p>
    <w:p w14:paraId="365C2AFC" w14:textId="77777777" w:rsidR="00F37E0E" w:rsidRDefault="00000000">
      <w:pPr>
        <w:pStyle w:val="Heading1"/>
        <w:rPr>
          <w:rFonts w:ascii="Google Sans" w:eastAsia="Google Sans" w:hAnsi="Google Sans" w:cs="Google Sans"/>
        </w:rPr>
      </w:pPr>
      <w:bookmarkStart w:id="6" w:name="_3znysh7" w:colFirst="0" w:colLast="0"/>
      <w:bookmarkEnd w:id="6"/>
      <w:r>
        <w:rPr>
          <w:rFonts w:ascii="Google Sans" w:eastAsia="Google Sans" w:hAnsi="Google Sans" w:cs="Google Sans"/>
        </w:rPr>
        <w:t xml:space="preserve">Connaissances antérieures </w:t>
      </w:r>
    </w:p>
    <w:p w14:paraId="08E9E921" w14:textId="77777777" w:rsidR="00F37E0E" w:rsidRDefault="00000000">
      <w:pPr>
        <w:jc w:val="left"/>
        <w:rPr>
          <w:rFonts w:ascii="Google Sans" w:eastAsia="Google Sans" w:hAnsi="Google Sans" w:cs="Google Sans"/>
        </w:rPr>
      </w:pPr>
      <w:r>
        <w:rPr>
          <w:rFonts w:ascii="Google Sans" w:eastAsia="Google Sans" w:hAnsi="Google Sans" w:cs="Google Sans"/>
        </w:rPr>
        <w:t xml:space="preserve">Il est suggéré, mais non obligatoire, que les élèves possèdent certaines connaissances de base du cours TIJ 1O, Initiation à la technologie, 9e année. Voici les notions de base : </w:t>
      </w:r>
    </w:p>
    <w:p w14:paraId="10A159D4" w14:textId="77777777" w:rsidR="00F37E0E" w:rsidRDefault="00000000">
      <w:pPr>
        <w:numPr>
          <w:ilvl w:val="0"/>
          <w:numId w:val="7"/>
        </w:numPr>
        <w:spacing w:after="0"/>
        <w:jc w:val="left"/>
        <w:rPr>
          <w:rFonts w:ascii="Google Sans" w:eastAsia="Google Sans" w:hAnsi="Google Sans" w:cs="Google Sans"/>
        </w:rPr>
      </w:pPr>
      <w:r>
        <w:rPr>
          <w:rFonts w:ascii="Google Sans" w:eastAsia="Google Sans" w:hAnsi="Google Sans" w:cs="Google Sans"/>
        </w:rPr>
        <w:t>Compréhension générale de la rédaction et des dessins en projection orthogonale;</w:t>
      </w:r>
    </w:p>
    <w:p w14:paraId="18FFCE65" w14:textId="77777777" w:rsidR="00F37E0E" w:rsidRDefault="00000000">
      <w:pPr>
        <w:numPr>
          <w:ilvl w:val="0"/>
          <w:numId w:val="7"/>
        </w:numPr>
        <w:jc w:val="left"/>
        <w:rPr>
          <w:rFonts w:ascii="Google Sans" w:eastAsia="Google Sans" w:hAnsi="Google Sans" w:cs="Google Sans"/>
        </w:rPr>
      </w:pPr>
      <w:r>
        <w:rPr>
          <w:rFonts w:ascii="Google Sans" w:eastAsia="Google Sans" w:hAnsi="Google Sans" w:cs="Google Sans"/>
        </w:rPr>
        <w:t>Compréhension des mesures impériales (ou métriques).</w:t>
      </w:r>
    </w:p>
    <w:p w14:paraId="289DAAE5" w14:textId="77777777" w:rsidR="00F37E0E" w:rsidRDefault="00000000">
      <w:pPr>
        <w:pStyle w:val="Heading1"/>
        <w:rPr>
          <w:rFonts w:ascii="Google Sans" w:eastAsia="Google Sans" w:hAnsi="Google Sans" w:cs="Google Sans"/>
        </w:rPr>
      </w:pPr>
      <w:bookmarkStart w:id="7" w:name="_17dp8vu" w:colFirst="0" w:colLast="0"/>
      <w:bookmarkEnd w:id="7"/>
      <w:r>
        <w:rPr>
          <w:rFonts w:ascii="Google Sans" w:eastAsia="Google Sans" w:hAnsi="Google Sans" w:cs="Google Sans"/>
        </w:rPr>
        <w:t>Notes de planification/Ressources</w:t>
      </w:r>
    </w:p>
    <w:p w14:paraId="43B1E17E" w14:textId="77777777" w:rsidR="00F37E0E" w:rsidRDefault="00000000">
      <w:pPr>
        <w:pStyle w:val="Heading3"/>
        <w:widowControl w:val="0"/>
        <w:rPr>
          <w:rFonts w:ascii="Google Sans" w:eastAsia="Google Sans" w:hAnsi="Google Sans" w:cs="Google Sans"/>
        </w:rPr>
      </w:pPr>
      <w:bookmarkStart w:id="8" w:name="_9vjwzm4ahua8" w:colFirst="0" w:colLast="0"/>
      <w:bookmarkEnd w:id="8"/>
      <w:r>
        <w:rPr>
          <w:rFonts w:ascii="Google Sans" w:eastAsia="Google Sans" w:hAnsi="Google Sans" w:cs="Google Sans"/>
        </w:rPr>
        <w:t>Activité 1 : Le dessin en projection orthogonale</w:t>
      </w:r>
    </w:p>
    <w:p w14:paraId="1A24717F" w14:textId="77777777" w:rsidR="00F37E0E" w:rsidRDefault="00000000">
      <w:pPr>
        <w:spacing w:after="0"/>
        <w:rPr>
          <w:rFonts w:ascii="Google Sans" w:eastAsia="Google Sans" w:hAnsi="Google Sans" w:cs="Google Sans"/>
        </w:rPr>
      </w:pPr>
      <w:r>
        <w:rPr>
          <w:rFonts w:ascii="Google Sans" w:eastAsia="Google Sans" w:hAnsi="Google Sans" w:cs="Google Sans"/>
        </w:rPr>
        <w:t xml:space="preserve">Ressource : </w:t>
      </w:r>
    </w:p>
    <w:p w14:paraId="0322DCFF" w14:textId="77777777" w:rsidR="00F37E0E" w:rsidRDefault="00000000">
      <w:pPr>
        <w:spacing w:after="0"/>
        <w:rPr>
          <w:rFonts w:ascii="Google Sans" w:eastAsia="Google Sans" w:hAnsi="Google Sans" w:cs="Google Sans"/>
        </w:rPr>
      </w:pPr>
      <w:hyperlink r:id="rId13">
        <w:r>
          <w:rPr>
            <w:color w:val="0000EE"/>
            <w:u w:val="single"/>
          </w:rPr>
          <w:t>Activité 1 - Exemple d'un dessin en projection orthogonale</w:t>
        </w:r>
      </w:hyperlink>
    </w:p>
    <w:p w14:paraId="6B84DD87" w14:textId="77777777" w:rsidR="00F37E0E" w:rsidRDefault="00F37E0E">
      <w:pPr>
        <w:spacing w:after="0"/>
        <w:rPr>
          <w:rFonts w:ascii="Google Sans" w:eastAsia="Google Sans" w:hAnsi="Google Sans" w:cs="Google Sans"/>
        </w:rPr>
      </w:pPr>
    </w:p>
    <w:p w14:paraId="63337B67"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Temps requis : 60 minutes</w:t>
      </w:r>
    </w:p>
    <w:p w14:paraId="49121CD2"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Matériel requis : tableau, papier quadrillé, crayon, règle, gomme à effacer et équerre, ruban à mesurer.</w:t>
      </w:r>
    </w:p>
    <w:p w14:paraId="56E88E89" w14:textId="77777777" w:rsidR="00F37E0E" w:rsidRDefault="00F37E0E">
      <w:pPr>
        <w:widowControl w:val="0"/>
        <w:spacing w:after="0"/>
        <w:jc w:val="left"/>
        <w:rPr>
          <w:rFonts w:ascii="Google Sans" w:eastAsia="Google Sans" w:hAnsi="Google Sans" w:cs="Google Sans"/>
        </w:rPr>
      </w:pPr>
    </w:p>
    <w:p w14:paraId="32B10D57"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Il est possible que les mesures soient en unité métrique ou impériale selon les dessins disponibles. </w:t>
      </w:r>
    </w:p>
    <w:p w14:paraId="4D5987D7" w14:textId="77777777" w:rsidR="00F37E0E" w:rsidRDefault="00F37E0E">
      <w:pPr>
        <w:widowControl w:val="0"/>
        <w:spacing w:after="0"/>
        <w:jc w:val="left"/>
        <w:rPr>
          <w:rFonts w:ascii="Google Sans" w:eastAsia="Google Sans" w:hAnsi="Google Sans" w:cs="Google Sans"/>
          <w:sz w:val="22"/>
          <w:szCs w:val="22"/>
        </w:rPr>
      </w:pPr>
    </w:p>
    <w:p w14:paraId="7EBD16A6"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élèves devront : </w:t>
      </w:r>
    </w:p>
    <w:p w14:paraId="371ACC73" w14:textId="77777777" w:rsidR="00F37E0E" w:rsidRDefault="00F37E0E">
      <w:pPr>
        <w:widowControl w:val="0"/>
        <w:spacing w:after="0"/>
        <w:jc w:val="left"/>
        <w:rPr>
          <w:rFonts w:ascii="Google Sans" w:eastAsia="Google Sans" w:hAnsi="Google Sans" w:cs="Google Sans"/>
        </w:rPr>
      </w:pPr>
    </w:p>
    <w:p w14:paraId="1A223238" w14:textId="77777777" w:rsidR="00F37E0E" w:rsidRDefault="00000000">
      <w:pPr>
        <w:widowControl w:val="0"/>
        <w:numPr>
          <w:ilvl w:val="0"/>
          <w:numId w:val="4"/>
        </w:numPr>
        <w:spacing w:after="0"/>
        <w:jc w:val="left"/>
        <w:rPr>
          <w:rFonts w:ascii="Google Sans" w:eastAsia="Google Sans" w:hAnsi="Google Sans" w:cs="Google Sans"/>
        </w:rPr>
      </w:pPr>
      <w:r>
        <w:rPr>
          <w:rFonts w:ascii="Google Sans" w:eastAsia="Google Sans" w:hAnsi="Google Sans" w:cs="Google Sans"/>
        </w:rPr>
        <w:t xml:space="preserve">dessiner sur le papier quadrillé distribué par l'enseignant(e) les dimensions des blocs qui auront été données par l’enseignant(e) (voir </w:t>
      </w:r>
      <w:hyperlink r:id="rId14">
        <w:r>
          <w:rPr>
            <w:rFonts w:ascii="Google Sans" w:eastAsia="Google Sans" w:hAnsi="Google Sans" w:cs="Google Sans"/>
            <w:color w:val="1155CC"/>
            <w:u w:val="single"/>
          </w:rPr>
          <w:t>exemple</w:t>
        </w:r>
      </w:hyperlink>
      <w:r>
        <w:rPr>
          <w:rFonts w:ascii="Google Sans" w:eastAsia="Google Sans" w:hAnsi="Google Sans" w:cs="Google Sans"/>
        </w:rPr>
        <w:t>);</w:t>
      </w:r>
    </w:p>
    <w:p w14:paraId="2CED4B0A" w14:textId="77777777" w:rsidR="00F37E0E" w:rsidRDefault="00000000">
      <w:pPr>
        <w:widowControl w:val="0"/>
        <w:numPr>
          <w:ilvl w:val="0"/>
          <w:numId w:val="4"/>
        </w:numPr>
        <w:spacing w:after="0"/>
        <w:jc w:val="left"/>
        <w:rPr>
          <w:rFonts w:ascii="Google Sans" w:eastAsia="Google Sans" w:hAnsi="Google Sans" w:cs="Google Sans"/>
        </w:rPr>
      </w:pPr>
      <w:r>
        <w:rPr>
          <w:rFonts w:ascii="Google Sans" w:eastAsia="Google Sans" w:hAnsi="Google Sans" w:cs="Google Sans"/>
        </w:rPr>
        <w:t>utiliser les mesures spécifiées par l’enseignant(e). Ces mesures doivent correspondre au matériel disponible dans la salle de classe ou l’atelier. L’échelle de difficulté sera choisie par l’enseignant(e). Par exemple, facile (1” ou 2 cm); difficile (⅞” ou 18 mm);</w:t>
      </w:r>
    </w:p>
    <w:p w14:paraId="2664770E" w14:textId="77777777" w:rsidR="00F37E0E" w:rsidRDefault="00000000">
      <w:pPr>
        <w:widowControl w:val="0"/>
        <w:numPr>
          <w:ilvl w:val="0"/>
          <w:numId w:val="4"/>
        </w:numPr>
        <w:spacing w:after="0"/>
        <w:jc w:val="left"/>
        <w:rPr>
          <w:rFonts w:ascii="Google Sans" w:eastAsia="Google Sans" w:hAnsi="Google Sans" w:cs="Google Sans"/>
        </w:rPr>
      </w:pPr>
      <w:r>
        <w:rPr>
          <w:rFonts w:ascii="Google Sans" w:eastAsia="Google Sans" w:hAnsi="Google Sans" w:cs="Google Sans"/>
        </w:rPr>
        <w:lastRenderedPageBreak/>
        <w:t>utiliser les mêmes dimensions et emplacement des trous que dans leurs dessins orthogonaux. Il est à noter que les trous devront être de la même mesure que les douilles disponibles dans la classe ou l’atelier;</w:t>
      </w:r>
    </w:p>
    <w:p w14:paraId="7738254E" w14:textId="77777777" w:rsidR="00F37E0E" w:rsidRDefault="00000000">
      <w:pPr>
        <w:widowControl w:val="0"/>
        <w:numPr>
          <w:ilvl w:val="0"/>
          <w:numId w:val="4"/>
        </w:numPr>
        <w:spacing w:after="0"/>
        <w:jc w:val="left"/>
        <w:rPr>
          <w:rFonts w:ascii="Google Sans" w:eastAsia="Google Sans" w:hAnsi="Google Sans" w:cs="Google Sans"/>
        </w:rPr>
      </w:pPr>
      <w:r>
        <w:rPr>
          <w:rFonts w:ascii="Google Sans" w:eastAsia="Google Sans" w:hAnsi="Google Sans" w:cs="Google Sans"/>
        </w:rPr>
        <w:t>montrer le patron à l’enseignant(e) afin de vérifier les dimensions avant de passer à l’étape suivante.</w:t>
      </w:r>
    </w:p>
    <w:p w14:paraId="3FFC1DA4" w14:textId="77777777" w:rsidR="00F37E0E" w:rsidRDefault="00F37E0E">
      <w:pPr>
        <w:widowControl w:val="0"/>
        <w:spacing w:after="0"/>
        <w:ind w:left="720"/>
        <w:jc w:val="left"/>
        <w:rPr>
          <w:rFonts w:ascii="Google Sans" w:eastAsia="Google Sans" w:hAnsi="Google Sans" w:cs="Google Sans"/>
          <w:sz w:val="22"/>
          <w:szCs w:val="22"/>
        </w:rPr>
      </w:pPr>
    </w:p>
    <w:p w14:paraId="460A039B" w14:textId="77777777" w:rsidR="00F37E0E" w:rsidRDefault="00000000">
      <w:pPr>
        <w:pStyle w:val="Heading3"/>
        <w:widowControl w:val="0"/>
        <w:rPr>
          <w:rFonts w:ascii="Google Sans" w:eastAsia="Google Sans" w:hAnsi="Google Sans" w:cs="Google Sans"/>
        </w:rPr>
      </w:pPr>
      <w:bookmarkStart w:id="9" w:name="_p4tqu4wgpklo" w:colFirst="0" w:colLast="0"/>
      <w:bookmarkEnd w:id="9"/>
      <w:r>
        <w:rPr>
          <w:rFonts w:ascii="Google Sans" w:eastAsia="Google Sans" w:hAnsi="Google Sans" w:cs="Google Sans"/>
        </w:rPr>
        <w:t>Activité 2 : Traçage et perçage des blocs</w:t>
      </w:r>
    </w:p>
    <w:p w14:paraId="093921C9" w14:textId="77777777" w:rsidR="00F37E0E" w:rsidRDefault="00000000">
      <w:pPr>
        <w:spacing w:after="0"/>
        <w:rPr>
          <w:rFonts w:ascii="Google Sans" w:eastAsia="Google Sans" w:hAnsi="Google Sans" w:cs="Google Sans"/>
        </w:rPr>
      </w:pPr>
      <w:r>
        <w:rPr>
          <w:rFonts w:ascii="Google Sans" w:eastAsia="Google Sans" w:hAnsi="Google Sans" w:cs="Google Sans"/>
        </w:rPr>
        <w:t>Ressources :</w:t>
      </w:r>
    </w:p>
    <w:p w14:paraId="6FD1D2A4" w14:textId="77777777" w:rsidR="00F37E0E" w:rsidRDefault="00000000">
      <w:pPr>
        <w:spacing w:after="0"/>
        <w:rPr>
          <w:rFonts w:ascii="Google Sans" w:eastAsia="Google Sans" w:hAnsi="Google Sans" w:cs="Google Sans"/>
        </w:rPr>
      </w:pPr>
      <w:hyperlink r:id="rId15">
        <w:r>
          <w:rPr>
            <w:color w:val="0000EE"/>
            <w:u w:val="single"/>
          </w:rPr>
          <w:t>Activité 2 - Projet de blocs de précision</w:t>
        </w:r>
      </w:hyperlink>
    </w:p>
    <w:p w14:paraId="5F8AC760" w14:textId="77777777" w:rsidR="00F37E0E" w:rsidRDefault="00000000">
      <w:pPr>
        <w:spacing w:after="0"/>
        <w:rPr>
          <w:rFonts w:ascii="Google Sans" w:eastAsia="Google Sans" w:hAnsi="Google Sans" w:cs="Google Sans"/>
        </w:rPr>
      </w:pPr>
      <w:hyperlink r:id="rId16">
        <w:r>
          <w:rPr>
            <w:color w:val="0000EE"/>
            <w:u w:val="single"/>
          </w:rPr>
          <w:t>Activité 2 - Feuille de route</w:t>
        </w:r>
      </w:hyperlink>
    </w:p>
    <w:p w14:paraId="6A0F99FF" w14:textId="77777777" w:rsidR="00F37E0E" w:rsidRDefault="00F37E0E">
      <w:pPr>
        <w:spacing w:after="0"/>
        <w:rPr>
          <w:rFonts w:ascii="Google Sans" w:eastAsia="Google Sans" w:hAnsi="Google Sans" w:cs="Google Sans"/>
        </w:rPr>
      </w:pPr>
    </w:p>
    <w:p w14:paraId="7393A998"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Temps requis : 60 minutes</w:t>
      </w:r>
    </w:p>
    <w:p w14:paraId="02DE23E2"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Matériel requis : </w:t>
      </w:r>
    </w:p>
    <w:p w14:paraId="1F134BBA" w14:textId="77777777" w:rsidR="00F37E0E" w:rsidRDefault="00000000">
      <w:pPr>
        <w:widowControl w:val="0"/>
        <w:numPr>
          <w:ilvl w:val="0"/>
          <w:numId w:val="5"/>
        </w:numPr>
        <w:spacing w:after="0"/>
        <w:jc w:val="left"/>
        <w:rPr>
          <w:rFonts w:ascii="Google Sans" w:eastAsia="Google Sans" w:hAnsi="Google Sans" w:cs="Google Sans"/>
        </w:rPr>
      </w:pPr>
      <w:r>
        <w:rPr>
          <w:rFonts w:ascii="Google Sans" w:eastAsia="Google Sans" w:hAnsi="Google Sans" w:cs="Google Sans"/>
        </w:rPr>
        <w:t>blocs de bois (les blocs devraient tous être coupés de la même grandeur). Le bloc idéal a les mesures suivantes : 1 ¾” x 1 ¾” x 6”;</w:t>
      </w:r>
    </w:p>
    <w:p w14:paraId="424CE202" w14:textId="77777777" w:rsidR="00F37E0E" w:rsidRDefault="00000000">
      <w:pPr>
        <w:numPr>
          <w:ilvl w:val="0"/>
          <w:numId w:val="5"/>
        </w:numPr>
        <w:spacing w:after="0" w:line="276" w:lineRule="auto"/>
        <w:jc w:val="left"/>
        <w:rPr>
          <w:rFonts w:ascii="Google Sans" w:eastAsia="Google Sans" w:hAnsi="Google Sans" w:cs="Google Sans"/>
        </w:rPr>
      </w:pPr>
      <w:r>
        <w:rPr>
          <w:rFonts w:ascii="Google Sans" w:eastAsia="Google Sans" w:hAnsi="Google Sans" w:cs="Google Sans"/>
        </w:rPr>
        <w:t>4 douilles (¼” ou ⅜”);</w:t>
      </w:r>
    </w:p>
    <w:p w14:paraId="1A87437E" w14:textId="77777777" w:rsidR="00F37E0E" w:rsidRDefault="00000000">
      <w:pPr>
        <w:numPr>
          <w:ilvl w:val="0"/>
          <w:numId w:val="5"/>
        </w:numPr>
        <w:spacing w:after="0" w:line="276" w:lineRule="auto"/>
        <w:jc w:val="left"/>
        <w:rPr>
          <w:rFonts w:ascii="Google Sans" w:eastAsia="Google Sans" w:hAnsi="Google Sans" w:cs="Google Sans"/>
        </w:rPr>
      </w:pPr>
      <w:r>
        <w:rPr>
          <w:rFonts w:ascii="Google Sans" w:eastAsia="Google Sans" w:hAnsi="Google Sans" w:cs="Google Sans"/>
        </w:rPr>
        <w:t>outils de traçage et de mesure : équerre combinée, règles, ruban à mesurer, trusquin, blocs de machiniste et marteau mou;</w:t>
      </w:r>
    </w:p>
    <w:p w14:paraId="5234E74E" w14:textId="77777777" w:rsidR="00F37E0E" w:rsidRDefault="00000000">
      <w:pPr>
        <w:numPr>
          <w:ilvl w:val="0"/>
          <w:numId w:val="5"/>
        </w:numPr>
        <w:spacing w:after="0" w:line="276" w:lineRule="auto"/>
        <w:jc w:val="left"/>
        <w:rPr>
          <w:rFonts w:ascii="Google Sans" w:eastAsia="Google Sans" w:hAnsi="Google Sans" w:cs="Google Sans"/>
        </w:rPr>
      </w:pPr>
      <w:r>
        <w:rPr>
          <w:rFonts w:ascii="Google Sans" w:eastAsia="Google Sans" w:hAnsi="Google Sans" w:cs="Google Sans"/>
        </w:rPr>
        <w:t>choix de perceuses et de mèches : mèches ¼” ou ⅜”, perceuses à main, perceuses à colonne ou vilebrequins.</w:t>
      </w:r>
    </w:p>
    <w:p w14:paraId="529A6D75" w14:textId="77777777" w:rsidR="00F37E0E" w:rsidRDefault="00F37E0E">
      <w:pPr>
        <w:widowControl w:val="0"/>
        <w:spacing w:after="0"/>
        <w:jc w:val="left"/>
        <w:rPr>
          <w:rFonts w:ascii="Google Sans" w:eastAsia="Google Sans" w:hAnsi="Google Sans" w:cs="Google Sans"/>
        </w:rPr>
      </w:pPr>
    </w:p>
    <w:p w14:paraId="0965FE58"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Les élèves devront :</w:t>
      </w:r>
    </w:p>
    <w:p w14:paraId="28DB2B78" w14:textId="77777777" w:rsidR="00F37E0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trouver et marquer le centre où le trou sera percé sur chaque bout du bloc à l’aide d’une règle et d’un crayon. Les élèves peuvent le trouver en faisant un X de coin à coin. (C’est une résolution de problème qui pourrait alimenter une discussion de groupe. L’enseignant(e) pourra demander aux élèves quelle est la meilleure façon de trouver le centre d’un bloc.);</w:t>
      </w:r>
    </w:p>
    <w:p w14:paraId="7B1F6897" w14:textId="77777777" w:rsidR="00F37E0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 xml:space="preserve">utiliser l’équerre pour tracer les côtés; </w:t>
      </w:r>
    </w:p>
    <w:p w14:paraId="7EFC6C6D" w14:textId="77777777" w:rsidR="00F37E0E" w:rsidRDefault="00000000">
      <w:pPr>
        <w:widowControl w:val="0"/>
        <w:numPr>
          <w:ilvl w:val="0"/>
          <w:numId w:val="2"/>
        </w:numPr>
        <w:spacing w:after="0"/>
        <w:jc w:val="left"/>
        <w:rPr>
          <w:rFonts w:ascii="Google Sans" w:eastAsia="Google Sans" w:hAnsi="Google Sans" w:cs="Google Sans"/>
        </w:rPr>
      </w:pPr>
      <w:r>
        <w:rPr>
          <w:rFonts w:ascii="Google Sans" w:eastAsia="Google Sans" w:hAnsi="Google Sans" w:cs="Google Sans"/>
        </w:rPr>
        <w:t>préparer une perceuse à main ou une perceuse à colonne ou un vilebrequin pour percer les trous dans le bloc. La mèche pour percer le trou devra être de la même mesure que la douille. L’élève devra choisir la mèche appropriée pour percer le trou;</w:t>
      </w:r>
    </w:p>
    <w:p w14:paraId="34D8904D" w14:textId="77777777" w:rsidR="00F37E0E" w:rsidRDefault="00000000">
      <w:pPr>
        <w:widowControl w:val="0"/>
        <w:numPr>
          <w:ilvl w:val="0"/>
          <w:numId w:val="8"/>
        </w:numPr>
        <w:spacing w:after="0"/>
        <w:jc w:val="left"/>
        <w:rPr>
          <w:rFonts w:ascii="Google Sans" w:eastAsia="Google Sans" w:hAnsi="Google Sans" w:cs="Google Sans"/>
        </w:rPr>
      </w:pPr>
      <w:r>
        <w:rPr>
          <w:rFonts w:ascii="Google Sans" w:eastAsia="Google Sans" w:hAnsi="Google Sans" w:cs="Google Sans"/>
        </w:rPr>
        <w:t>fixer le bloc dans un étau ou une serre en C (serre coulissante);</w:t>
      </w:r>
    </w:p>
    <w:p w14:paraId="7324B9CE" w14:textId="77777777" w:rsidR="00F37E0E" w:rsidRDefault="00000000">
      <w:pPr>
        <w:widowControl w:val="0"/>
        <w:numPr>
          <w:ilvl w:val="0"/>
          <w:numId w:val="8"/>
        </w:numPr>
        <w:spacing w:after="0"/>
        <w:jc w:val="left"/>
        <w:rPr>
          <w:rFonts w:ascii="Google Sans" w:eastAsia="Google Sans" w:hAnsi="Google Sans" w:cs="Google Sans"/>
        </w:rPr>
      </w:pPr>
      <w:r>
        <w:rPr>
          <w:rFonts w:ascii="Google Sans" w:eastAsia="Google Sans" w:hAnsi="Google Sans" w:cs="Google Sans"/>
        </w:rPr>
        <w:t>percer le bloc aux endroits marqués;</w:t>
      </w:r>
    </w:p>
    <w:p w14:paraId="62F8F9E3" w14:textId="77777777" w:rsidR="00F37E0E" w:rsidRDefault="00000000">
      <w:pPr>
        <w:widowControl w:val="0"/>
        <w:numPr>
          <w:ilvl w:val="0"/>
          <w:numId w:val="8"/>
        </w:numPr>
        <w:spacing w:after="0"/>
        <w:jc w:val="left"/>
        <w:rPr>
          <w:rFonts w:ascii="Google Sans" w:eastAsia="Google Sans" w:hAnsi="Google Sans" w:cs="Google Sans"/>
        </w:rPr>
      </w:pPr>
      <w:r>
        <w:rPr>
          <w:rFonts w:ascii="Google Sans" w:eastAsia="Google Sans" w:hAnsi="Google Sans" w:cs="Google Sans"/>
        </w:rPr>
        <w:t xml:space="preserve">nettoyer le poste de travail; </w:t>
      </w:r>
    </w:p>
    <w:p w14:paraId="04976298" w14:textId="77777777" w:rsidR="00F37E0E" w:rsidRDefault="00000000">
      <w:pPr>
        <w:widowControl w:val="0"/>
        <w:numPr>
          <w:ilvl w:val="0"/>
          <w:numId w:val="8"/>
        </w:numPr>
        <w:spacing w:after="0"/>
        <w:jc w:val="left"/>
        <w:rPr>
          <w:rFonts w:ascii="Google Sans" w:eastAsia="Google Sans" w:hAnsi="Google Sans" w:cs="Google Sans"/>
        </w:rPr>
      </w:pPr>
      <w:r>
        <w:rPr>
          <w:rFonts w:ascii="Google Sans" w:eastAsia="Google Sans" w:hAnsi="Google Sans" w:cs="Google Sans"/>
        </w:rPr>
        <w:t>se placer en groupe pour assembler les blocs et vérifier les placements de douille;</w:t>
      </w:r>
    </w:p>
    <w:p w14:paraId="3EAE0EA0" w14:textId="77777777" w:rsidR="00F37E0E" w:rsidRDefault="00000000">
      <w:pPr>
        <w:widowControl w:val="0"/>
        <w:numPr>
          <w:ilvl w:val="0"/>
          <w:numId w:val="8"/>
        </w:numPr>
        <w:spacing w:after="0"/>
        <w:jc w:val="left"/>
        <w:rPr>
          <w:rFonts w:ascii="Google Sans" w:eastAsia="Google Sans" w:hAnsi="Google Sans" w:cs="Google Sans"/>
        </w:rPr>
      </w:pPr>
      <w:r>
        <w:rPr>
          <w:rFonts w:ascii="Google Sans" w:eastAsia="Google Sans" w:hAnsi="Google Sans" w:cs="Google Sans"/>
        </w:rPr>
        <w:t>Les élèves seront invités à s'engager dans une discussion en classe dont le but sera de déterminer la meilleure approche pour compléter cette activité;</w:t>
      </w:r>
    </w:p>
    <w:p w14:paraId="3673ECD0" w14:textId="77777777" w:rsidR="00F37E0E" w:rsidRDefault="00000000">
      <w:pPr>
        <w:widowControl w:val="0"/>
        <w:numPr>
          <w:ilvl w:val="0"/>
          <w:numId w:val="8"/>
        </w:numPr>
        <w:spacing w:after="0"/>
        <w:jc w:val="left"/>
        <w:rPr>
          <w:rFonts w:ascii="Google Sans" w:eastAsia="Google Sans" w:hAnsi="Google Sans" w:cs="Google Sans"/>
        </w:rPr>
      </w:pPr>
      <w:r>
        <w:rPr>
          <w:rFonts w:ascii="Google Sans" w:eastAsia="Google Sans" w:hAnsi="Google Sans" w:cs="Google Sans"/>
        </w:rPr>
        <w:t xml:space="preserve">faire des essais pour monter la tour la plus haute possible avec les morceaux construits en salle de classe. </w:t>
      </w:r>
    </w:p>
    <w:p w14:paraId="1850B57E" w14:textId="77777777" w:rsidR="00F37E0E" w:rsidRDefault="00000000">
      <w:pPr>
        <w:pStyle w:val="Heading3"/>
        <w:widowControl w:val="0"/>
        <w:rPr>
          <w:rFonts w:ascii="Google Sans" w:eastAsia="Google Sans" w:hAnsi="Google Sans" w:cs="Google Sans"/>
        </w:rPr>
      </w:pPr>
      <w:bookmarkStart w:id="10" w:name="_vqxydeoobrz1" w:colFirst="0" w:colLast="0"/>
      <w:bookmarkEnd w:id="10"/>
      <w:r>
        <w:rPr>
          <w:rFonts w:ascii="Google Sans" w:eastAsia="Google Sans" w:hAnsi="Google Sans" w:cs="Google Sans"/>
        </w:rPr>
        <w:lastRenderedPageBreak/>
        <w:t>Activité 3 : Recherche sur les carrières en usinage</w:t>
      </w:r>
    </w:p>
    <w:p w14:paraId="6B4F52A6" w14:textId="77777777" w:rsidR="00F37E0E" w:rsidRDefault="00000000">
      <w:pPr>
        <w:widowControl w:val="0"/>
        <w:spacing w:after="0"/>
        <w:rPr>
          <w:rFonts w:ascii="Google Sans" w:eastAsia="Google Sans" w:hAnsi="Google Sans" w:cs="Google Sans"/>
        </w:rPr>
      </w:pPr>
      <w:r>
        <w:rPr>
          <w:rFonts w:ascii="Google Sans" w:eastAsia="Google Sans" w:hAnsi="Google Sans" w:cs="Google Sans"/>
        </w:rPr>
        <w:t xml:space="preserve">Ressource : </w:t>
      </w:r>
    </w:p>
    <w:p w14:paraId="5D22AD21" w14:textId="77777777" w:rsidR="00F37E0E" w:rsidRDefault="00000000">
      <w:pPr>
        <w:widowControl w:val="0"/>
        <w:spacing w:after="0"/>
        <w:rPr>
          <w:rFonts w:ascii="Google Sans" w:eastAsia="Google Sans" w:hAnsi="Google Sans" w:cs="Google Sans"/>
        </w:rPr>
      </w:pPr>
      <w:hyperlink r:id="rId17">
        <w:r>
          <w:rPr>
            <w:color w:val="0000EE"/>
            <w:u w:val="single"/>
          </w:rPr>
          <w:t>Activité 3 - Projet de recherche sur les carrières</w:t>
        </w:r>
      </w:hyperlink>
    </w:p>
    <w:p w14:paraId="1658AA86" w14:textId="77777777" w:rsidR="00F37E0E" w:rsidRDefault="00F37E0E">
      <w:pPr>
        <w:widowControl w:val="0"/>
        <w:spacing w:after="0"/>
        <w:rPr>
          <w:rFonts w:ascii="Google Sans" w:eastAsia="Google Sans" w:hAnsi="Google Sans" w:cs="Google Sans"/>
        </w:rPr>
      </w:pPr>
    </w:p>
    <w:p w14:paraId="6292A0DB"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Temps requis : 60 minutes</w:t>
      </w:r>
    </w:p>
    <w:p w14:paraId="2E31EB05"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Matériel requis : babillards, ordinateur, portable</w:t>
      </w:r>
    </w:p>
    <w:p w14:paraId="4C11E327" w14:textId="77777777" w:rsidR="00F37E0E" w:rsidRDefault="00F37E0E">
      <w:pPr>
        <w:widowControl w:val="0"/>
        <w:spacing w:after="0"/>
        <w:jc w:val="left"/>
        <w:rPr>
          <w:rFonts w:ascii="Google Sans" w:eastAsia="Google Sans" w:hAnsi="Google Sans" w:cs="Google Sans"/>
        </w:rPr>
      </w:pPr>
    </w:p>
    <w:p w14:paraId="65441BD1"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Les élèves devront choisir une des carrières suivantes et compléter la feuille de route</w:t>
      </w:r>
      <w:hyperlink r:id="rId18">
        <w:r>
          <w:rPr>
            <w:color w:val="0000EE"/>
            <w:u w:val="single"/>
          </w:rPr>
          <w:t>Activité 3 - Projet de recherche sur les carrières</w:t>
        </w:r>
      </w:hyperlink>
      <w:r>
        <w:rPr>
          <w:rFonts w:ascii="Google Sans" w:eastAsia="Google Sans" w:hAnsi="Google Sans" w:cs="Google Sans"/>
        </w:rPr>
        <w:t>. Les élèves compléteront leur projet sur un babillard ou une présentation Powerpoint ou dans un Google slides, etc.</w:t>
      </w:r>
    </w:p>
    <w:p w14:paraId="00EC1A2A" w14:textId="77777777" w:rsidR="00F37E0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 xml:space="preserve">Fabricant d’outils et de moules </w:t>
      </w:r>
    </w:p>
    <w:p w14:paraId="7CB46CAF" w14:textId="77777777" w:rsidR="00F37E0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 xml:space="preserve">Fabricant de moules </w:t>
      </w:r>
    </w:p>
    <w:p w14:paraId="30BA74F4" w14:textId="77777777" w:rsidR="00F37E0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Machiniste CNC</w:t>
      </w:r>
    </w:p>
    <w:p w14:paraId="7C2591EC" w14:textId="77777777" w:rsidR="00F37E0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Superviseur d’atelier d’usinage</w:t>
      </w:r>
    </w:p>
    <w:p w14:paraId="485C1068" w14:textId="77777777" w:rsidR="00F37E0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Machiniste aérospatial</w:t>
      </w:r>
    </w:p>
    <w:p w14:paraId="0EEE416C" w14:textId="77777777" w:rsidR="00F37E0E" w:rsidRDefault="00000000">
      <w:pPr>
        <w:widowControl w:val="0"/>
        <w:numPr>
          <w:ilvl w:val="0"/>
          <w:numId w:val="11"/>
        </w:numPr>
        <w:spacing w:after="0"/>
        <w:jc w:val="left"/>
        <w:rPr>
          <w:rFonts w:ascii="Google Sans" w:eastAsia="Google Sans" w:hAnsi="Google Sans" w:cs="Google Sans"/>
        </w:rPr>
      </w:pPr>
      <w:r>
        <w:rPr>
          <w:rFonts w:ascii="Google Sans" w:eastAsia="Google Sans" w:hAnsi="Google Sans" w:cs="Google Sans"/>
        </w:rPr>
        <w:t xml:space="preserve">Machiniste automobile </w:t>
      </w:r>
    </w:p>
    <w:p w14:paraId="65508554" w14:textId="77777777" w:rsidR="00F37E0E" w:rsidRDefault="00F37E0E">
      <w:pPr>
        <w:rPr>
          <w:rFonts w:ascii="Google Sans" w:eastAsia="Google Sans" w:hAnsi="Google Sans" w:cs="Google Sans"/>
        </w:rPr>
      </w:pPr>
    </w:p>
    <w:p w14:paraId="5D17D117" w14:textId="77777777" w:rsidR="00F37E0E" w:rsidRDefault="00000000">
      <w:pPr>
        <w:pStyle w:val="Heading1"/>
        <w:rPr>
          <w:rFonts w:ascii="Google Sans" w:eastAsia="Google Sans" w:hAnsi="Google Sans" w:cs="Google Sans"/>
        </w:rPr>
      </w:pPr>
      <w:bookmarkStart w:id="11" w:name="_2bktrc5iejvn" w:colFirst="0" w:colLast="0"/>
      <w:bookmarkEnd w:id="11"/>
      <w:r>
        <w:rPr>
          <w:rFonts w:ascii="Google Sans" w:eastAsia="Google Sans" w:hAnsi="Google Sans" w:cs="Google Sans"/>
        </w:rPr>
        <w:t>Autres ressources</w:t>
      </w:r>
    </w:p>
    <w:p w14:paraId="75BD3692" w14:textId="77777777" w:rsidR="00F37E0E" w:rsidRDefault="00000000">
      <w:pPr>
        <w:widowControl w:val="0"/>
        <w:numPr>
          <w:ilvl w:val="0"/>
          <w:numId w:val="1"/>
        </w:numPr>
        <w:spacing w:after="0"/>
        <w:jc w:val="left"/>
        <w:rPr>
          <w:rFonts w:ascii="Google Sans" w:eastAsia="Google Sans" w:hAnsi="Google Sans" w:cs="Google Sans"/>
        </w:rPr>
      </w:pPr>
      <w:hyperlink r:id="rId19">
        <w:r>
          <w:rPr>
            <w:rFonts w:ascii="Google Sans" w:eastAsia="Google Sans" w:hAnsi="Google Sans" w:cs="Google Sans"/>
            <w:color w:val="1155CC"/>
            <w:u w:val="single"/>
          </w:rPr>
          <w:t xml:space="preserve">Compétences du 21e siècle pour l'Ontario </w:t>
        </w:r>
      </w:hyperlink>
    </w:p>
    <w:p w14:paraId="76E3695C" w14:textId="77777777" w:rsidR="00F37E0E" w:rsidRDefault="00000000">
      <w:pPr>
        <w:widowControl w:val="0"/>
        <w:numPr>
          <w:ilvl w:val="0"/>
          <w:numId w:val="1"/>
        </w:numPr>
        <w:spacing w:after="0"/>
        <w:jc w:val="left"/>
        <w:rPr>
          <w:rFonts w:ascii="Google Sans" w:eastAsia="Google Sans" w:hAnsi="Google Sans" w:cs="Google Sans"/>
        </w:rPr>
      </w:pPr>
      <w:hyperlink r:id="rId20">
        <w:r>
          <w:rPr>
            <w:rFonts w:ascii="Google Sans" w:eastAsia="Google Sans" w:hAnsi="Google Sans" w:cs="Google Sans"/>
            <w:color w:val="1155CC"/>
            <w:u w:val="single"/>
          </w:rPr>
          <w:t>Faire croître le succès</w:t>
        </w:r>
      </w:hyperlink>
    </w:p>
    <w:p w14:paraId="0D4DE509" w14:textId="77777777" w:rsidR="00F37E0E" w:rsidRDefault="00000000">
      <w:pPr>
        <w:widowControl w:val="0"/>
        <w:numPr>
          <w:ilvl w:val="0"/>
          <w:numId w:val="1"/>
        </w:numPr>
        <w:spacing w:after="0"/>
        <w:jc w:val="left"/>
        <w:rPr>
          <w:rFonts w:ascii="Google Sans" w:eastAsia="Google Sans" w:hAnsi="Google Sans" w:cs="Google Sans"/>
        </w:rPr>
      </w:pPr>
      <w:hyperlink r:id="rId21" w:anchor="page=1">
        <w:r>
          <w:rPr>
            <w:rFonts w:ascii="Google Sans" w:eastAsia="Google Sans" w:hAnsi="Google Sans" w:cs="Google Sans"/>
            <w:color w:val="1155CC"/>
            <w:u w:val="single"/>
          </w:rPr>
          <w:t>Le curriculum de l'Ontario, 9e et 10e année, Éducation technologique, 2009</w:t>
        </w:r>
      </w:hyperlink>
    </w:p>
    <w:p w14:paraId="0058526E" w14:textId="77777777" w:rsidR="00F37E0E" w:rsidRDefault="00F37E0E">
      <w:pPr>
        <w:widowControl w:val="0"/>
        <w:spacing w:after="0"/>
        <w:jc w:val="left"/>
        <w:rPr>
          <w:rFonts w:ascii="Google Sans" w:eastAsia="Google Sans" w:hAnsi="Google Sans" w:cs="Google Sans"/>
        </w:rPr>
      </w:pPr>
    </w:p>
    <w:p w14:paraId="575EF65D" w14:textId="77777777" w:rsidR="00F37E0E" w:rsidRDefault="00000000">
      <w:pPr>
        <w:pStyle w:val="Heading1"/>
        <w:rPr>
          <w:rFonts w:ascii="Google Sans" w:eastAsia="Google Sans" w:hAnsi="Google Sans" w:cs="Google Sans"/>
        </w:rPr>
      </w:pPr>
      <w:bookmarkStart w:id="12" w:name="_2bn6wsx" w:colFirst="0" w:colLast="0"/>
      <w:bookmarkEnd w:id="12"/>
      <w:r>
        <w:rPr>
          <w:rFonts w:ascii="Google Sans" w:eastAsia="Google Sans" w:hAnsi="Google Sans" w:cs="Google Sans"/>
        </w:rPr>
        <w:t xml:space="preserve">Préoccupations et attentes liées à la santé et la sécurité </w:t>
      </w:r>
    </w:p>
    <w:p w14:paraId="711E34A9" w14:textId="77777777" w:rsidR="00F37E0E" w:rsidRDefault="00000000">
      <w:pPr>
        <w:rPr>
          <w:rFonts w:ascii="Google Sans" w:eastAsia="Google Sans" w:hAnsi="Google Sans" w:cs="Google Sans"/>
        </w:rPr>
      </w:pPr>
      <w:r>
        <w:rPr>
          <w:rFonts w:ascii="Google Sans" w:eastAsia="Google Sans" w:hAnsi="Google Sans" w:cs="Google Sans"/>
        </w:rPr>
        <w:t xml:space="preserve">Les élèves doivent : </w:t>
      </w:r>
    </w:p>
    <w:p w14:paraId="2ED72EAF" w14:textId="77777777" w:rsidR="00F37E0E" w:rsidRDefault="00000000">
      <w:pPr>
        <w:numPr>
          <w:ilvl w:val="0"/>
          <w:numId w:val="7"/>
        </w:numPr>
        <w:spacing w:after="0"/>
        <w:rPr>
          <w:rFonts w:ascii="Google Sans" w:eastAsia="Google Sans" w:hAnsi="Google Sans" w:cs="Google Sans"/>
        </w:rPr>
      </w:pPr>
      <w:r>
        <w:rPr>
          <w:rFonts w:ascii="Google Sans" w:eastAsia="Google Sans" w:hAnsi="Google Sans" w:cs="Google Sans"/>
        </w:rPr>
        <w:t>Respecter la sécurité générale en atelier et l’entretien des lieux;</w:t>
      </w:r>
    </w:p>
    <w:p w14:paraId="1026A9A6" w14:textId="77777777" w:rsidR="00F37E0E" w:rsidRDefault="00000000">
      <w:pPr>
        <w:numPr>
          <w:ilvl w:val="0"/>
          <w:numId w:val="7"/>
        </w:numPr>
        <w:spacing w:after="0"/>
        <w:rPr>
          <w:rFonts w:ascii="Google Sans" w:eastAsia="Google Sans" w:hAnsi="Google Sans" w:cs="Google Sans"/>
        </w:rPr>
      </w:pPr>
      <w:r>
        <w:rPr>
          <w:rFonts w:ascii="Google Sans" w:eastAsia="Google Sans" w:hAnsi="Google Sans" w:cs="Google Sans"/>
        </w:rPr>
        <w:t xml:space="preserve">Utiliser en toute sécurité des perceuses à main, des perceuses à colonne ou des gabarits de perçage (veuillez vous référer aux </w:t>
      </w:r>
      <w:hyperlink r:id="rId22">
        <w:r>
          <w:rPr>
            <w:rFonts w:ascii="Google Sans" w:eastAsia="Google Sans" w:hAnsi="Google Sans" w:cs="Google Sans"/>
            <w:color w:val="1155CC"/>
            <w:u w:val="single"/>
          </w:rPr>
          <w:t>SÉCURIdoc - Technologie de la construction</w:t>
        </w:r>
      </w:hyperlink>
      <w:r>
        <w:rPr>
          <w:rFonts w:ascii="Google Sans" w:eastAsia="Google Sans" w:hAnsi="Google Sans" w:cs="Google Sans"/>
        </w:rPr>
        <w:t xml:space="preserve"> sur le site Web du COET pour les documents de sécurité afin de présenter et d’enseigner correctement ce projet);</w:t>
      </w:r>
    </w:p>
    <w:p w14:paraId="3646F004" w14:textId="77777777" w:rsidR="00F37E0E" w:rsidRDefault="00000000">
      <w:pPr>
        <w:numPr>
          <w:ilvl w:val="0"/>
          <w:numId w:val="7"/>
        </w:numPr>
        <w:rPr>
          <w:rFonts w:ascii="Google Sans" w:eastAsia="Google Sans" w:hAnsi="Google Sans" w:cs="Google Sans"/>
        </w:rPr>
      </w:pPr>
      <w:r>
        <w:rPr>
          <w:rFonts w:ascii="Google Sans" w:eastAsia="Google Sans" w:hAnsi="Google Sans" w:cs="Google Sans"/>
        </w:rPr>
        <w:t>S’assurer de porter les EPI requis pour la tâche : des lunettes de sécurité et des bottes de sécurité.</w:t>
      </w:r>
    </w:p>
    <w:p w14:paraId="5A729175" w14:textId="77777777" w:rsidR="00F37E0E" w:rsidRDefault="00F37E0E">
      <w:pPr>
        <w:rPr>
          <w:rFonts w:ascii="Google Sans" w:eastAsia="Google Sans" w:hAnsi="Google Sans" w:cs="Google Sans"/>
        </w:rPr>
      </w:pPr>
    </w:p>
    <w:p w14:paraId="784324B2" w14:textId="77777777" w:rsidR="00F37E0E" w:rsidRDefault="00000000">
      <w:pPr>
        <w:pStyle w:val="Heading1"/>
        <w:widowControl w:val="0"/>
        <w:spacing w:after="0"/>
        <w:rPr>
          <w:rFonts w:ascii="Google Sans" w:eastAsia="Google Sans" w:hAnsi="Google Sans" w:cs="Google Sans"/>
        </w:rPr>
      </w:pPr>
      <w:bookmarkStart w:id="13" w:name="_deknad46up5j" w:colFirst="0" w:colLast="0"/>
      <w:bookmarkEnd w:id="13"/>
      <w:r>
        <w:rPr>
          <w:rFonts w:ascii="Google Sans" w:eastAsia="Google Sans" w:hAnsi="Google Sans" w:cs="Google Sans"/>
        </w:rPr>
        <w:lastRenderedPageBreak/>
        <w:t xml:space="preserve">Évaluation du rendement de l’élève </w:t>
      </w:r>
    </w:p>
    <w:p w14:paraId="42E3AFC8" w14:textId="77777777" w:rsidR="00F37E0E" w:rsidRDefault="00F37E0E">
      <w:pPr>
        <w:widowControl w:val="0"/>
        <w:spacing w:after="0"/>
        <w:jc w:val="left"/>
        <w:rPr>
          <w:rFonts w:ascii="Google Sans" w:eastAsia="Google Sans" w:hAnsi="Google Sans" w:cs="Google Sans"/>
          <w:color w:val="202124"/>
          <w:sz w:val="22"/>
          <w:szCs w:val="22"/>
        </w:rPr>
      </w:pPr>
    </w:p>
    <w:p w14:paraId="33DB73E2" w14:textId="77777777" w:rsidR="00F37E0E" w:rsidRDefault="00000000">
      <w:pPr>
        <w:widowControl w:val="0"/>
        <w:spacing w:after="0"/>
        <w:jc w:val="left"/>
        <w:rPr>
          <w:rFonts w:ascii="Google Sans" w:eastAsia="Google Sans" w:hAnsi="Google Sans" w:cs="Google Sans"/>
          <w:b/>
          <w:color w:val="202124"/>
        </w:rPr>
      </w:pPr>
      <w:r>
        <w:rPr>
          <w:rFonts w:ascii="Google Sans" w:eastAsia="Google Sans" w:hAnsi="Google Sans" w:cs="Google Sans"/>
          <w:b/>
          <w:color w:val="202124"/>
        </w:rPr>
        <w:t>Évaluation en tant qu'apprentissage</w:t>
      </w:r>
    </w:p>
    <w:p w14:paraId="04F971FB" w14:textId="77777777" w:rsidR="00F37E0E" w:rsidRDefault="00000000">
      <w:pPr>
        <w:widowControl w:val="0"/>
        <w:numPr>
          <w:ilvl w:val="0"/>
          <w:numId w:val="3"/>
        </w:numPr>
        <w:spacing w:after="0"/>
        <w:jc w:val="left"/>
        <w:rPr>
          <w:rFonts w:ascii="Google Sans" w:eastAsia="Google Sans" w:hAnsi="Google Sans" w:cs="Google Sans"/>
          <w:color w:val="202124"/>
        </w:rPr>
      </w:pPr>
      <w:r>
        <w:rPr>
          <w:rFonts w:ascii="Google Sans" w:eastAsia="Google Sans" w:hAnsi="Google Sans" w:cs="Google Sans"/>
          <w:color w:val="202124"/>
        </w:rPr>
        <w:t>Poser des questions et faire des suggestions basées sur les observations quotidiennes;</w:t>
      </w:r>
    </w:p>
    <w:p w14:paraId="70966B98" w14:textId="77777777" w:rsidR="00F37E0E" w:rsidRDefault="00000000">
      <w:pPr>
        <w:widowControl w:val="0"/>
        <w:numPr>
          <w:ilvl w:val="0"/>
          <w:numId w:val="3"/>
        </w:numPr>
        <w:spacing w:after="0"/>
        <w:jc w:val="left"/>
        <w:rPr>
          <w:rFonts w:ascii="Google Sans" w:eastAsia="Google Sans" w:hAnsi="Google Sans" w:cs="Google Sans"/>
          <w:color w:val="202124"/>
        </w:rPr>
      </w:pPr>
      <w:r>
        <w:rPr>
          <w:rFonts w:ascii="Google Sans" w:eastAsia="Google Sans" w:hAnsi="Google Sans" w:cs="Google Sans"/>
          <w:color w:val="202124"/>
        </w:rPr>
        <w:t>Évaluer la pensée critique des élèves sur leur apprentissage;</w:t>
      </w:r>
    </w:p>
    <w:p w14:paraId="55AA9603" w14:textId="77777777" w:rsidR="00F37E0E" w:rsidRDefault="00000000">
      <w:pPr>
        <w:widowControl w:val="0"/>
        <w:numPr>
          <w:ilvl w:val="0"/>
          <w:numId w:val="3"/>
        </w:numPr>
        <w:spacing w:after="0"/>
        <w:jc w:val="left"/>
        <w:rPr>
          <w:rFonts w:ascii="Google Sans" w:eastAsia="Google Sans" w:hAnsi="Google Sans" w:cs="Google Sans"/>
          <w:color w:val="202124"/>
        </w:rPr>
      </w:pPr>
      <w:r>
        <w:rPr>
          <w:rFonts w:ascii="Google Sans" w:eastAsia="Google Sans" w:hAnsi="Google Sans" w:cs="Google Sans"/>
          <w:color w:val="202124"/>
        </w:rPr>
        <w:t>Les élèves font le suivi de leur apprentissage et posent des questions au besoin.</w:t>
      </w:r>
    </w:p>
    <w:p w14:paraId="0C49CB3B" w14:textId="77777777" w:rsidR="00F37E0E" w:rsidRDefault="00F37E0E">
      <w:pPr>
        <w:widowControl w:val="0"/>
        <w:spacing w:after="0"/>
        <w:ind w:left="708" w:hanging="135"/>
        <w:jc w:val="left"/>
        <w:rPr>
          <w:rFonts w:ascii="Google Sans" w:eastAsia="Google Sans" w:hAnsi="Google Sans" w:cs="Google Sans"/>
          <w:color w:val="202124"/>
        </w:rPr>
      </w:pPr>
    </w:p>
    <w:p w14:paraId="06065D9F" w14:textId="77777777" w:rsidR="00F37E0E" w:rsidRDefault="00000000">
      <w:pPr>
        <w:widowControl w:val="0"/>
        <w:spacing w:after="0"/>
        <w:jc w:val="left"/>
        <w:rPr>
          <w:rFonts w:ascii="Google Sans" w:eastAsia="Google Sans" w:hAnsi="Google Sans" w:cs="Google Sans"/>
          <w:b/>
          <w:color w:val="202124"/>
        </w:rPr>
      </w:pPr>
      <w:r>
        <w:rPr>
          <w:rFonts w:ascii="Google Sans" w:eastAsia="Google Sans" w:hAnsi="Google Sans" w:cs="Google Sans"/>
          <w:b/>
          <w:color w:val="202124"/>
        </w:rPr>
        <w:t>Évaluation pour l'apprentissage</w:t>
      </w:r>
    </w:p>
    <w:p w14:paraId="3D423F4E" w14:textId="77777777" w:rsidR="00F37E0E" w:rsidRDefault="00000000">
      <w:pPr>
        <w:widowControl w:val="0"/>
        <w:numPr>
          <w:ilvl w:val="0"/>
          <w:numId w:val="13"/>
        </w:numPr>
        <w:spacing w:after="0"/>
        <w:jc w:val="left"/>
        <w:rPr>
          <w:rFonts w:ascii="Google Sans" w:eastAsia="Google Sans" w:hAnsi="Google Sans" w:cs="Google Sans"/>
          <w:color w:val="202124"/>
        </w:rPr>
      </w:pPr>
      <w:r>
        <w:rPr>
          <w:rFonts w:ascii="Google Sans" w:eastAsia="Google Sans" w:hAnsi="Google Sans" w:cs="Google Sans"/>
          <w:color w:val="202124"/>
        </w:rPr>
        <w:t>Fournir de la rétroaction aux élèves et des pistes d’amélioration;</w:t>
      </w:r>
    </w:p>
    <w:p w14:paraId="31836310" w14:textId="77777777" w:rsidR="00F37E0E" w:rsidRDefault="00000000">
      <w:pPr>
        <w:widowControl w:val="0"/>
        <w:numPr>
          <w:ilvl w:val="0"/>
          <w:numId w:val="13"/>
        </w:numPr>
        <w:spacing w:after="0"/>
        <w:jc w:val="left"/>
        <w:rPr>
          <w:rFonts w:ascii="Google Sans" w:eastAsia="Google Sans" w:hAnsi="Google Sans" w:cs="Google Sans"/>
          <w:color w:val="202124"/>
        </w:rPr>
      </w:pPr>
      <w:r>
        <w:rPr>
          <w:rFonts w:ascii="Google Sans" w:eastAsia="Google Sans" w:hAnsi="Google Sans" w:cs="Google Sans"/>
          <w:color w:val="202124"/>
        </w:rPr>
        <w:t>Utiliser des stratégies d'enseignement et des opportunités d'apprentissage différenciées;</w:t>
      </w:r>
    </w:p>
    <w:p w14:paraId="187C1A7B" w14:textId="77777777" w:rsidR="00F37E0E" w:rsidRDefault="00000000">
      <w:pPr>
        <w:widowControl w:val="0"/>
        <w:numPr>
          <w:ilvl w:val="0"/>
          <w:numId w:val="13"/>
        </w:numPr>
        <w:spacing w:after="0"/>
        <w:jc w:val="left"/>
        <w:rPr>
          <w:rFonts w:ascii="Google Sans" w:eastAsia="Google Sans" w:hAnsi="Google Sans" w:cs="Google Sans"/>
          <w:color w:val="202124"/>
        </w:rPr>
      </w:pPr>
      <w:r>
        <w:rPr>
          <w:rFonts w:ascii="Google Sans" w:eastAsia="Google Sans" w:hAnsi="Google Sans" w:cs="Google Sans"/>
          <w:color w:val="202124"/>
        </w:rPr>
        <w:t>Identifier les besoins d'apprentissage particuliers des élèves.</w:t>
      </w:r>
    </w:p>
    <w:p w14:paraId="6C10A6F7" w14:textId="77777777" w:rsidR="00F37E0E" w:rsidRDefault="00F37E0E">
      <w:pPr>
        <w:widowControl w:val="0"/>
        <w:spacing w:after="0"/>
        <w:ind w:left="708" w:hanging="135"/>
        <w:jc w:val="left"/>
        <w:rPr>
          <w:rFonts w:ascii="Google Sans" w:eastAsia="Google Sans" w:hAnsi="Google Sans" w:cs="Google Sans"/>
          <w:color w:val="202124"/>
        </w:rPr>
      </w:pPr>
    </w:p>
    <w:p w14:paraId="55E23A1B" w14:textId="77777777" w:rsidR="00F37E0E" w:rsidRDefault="00000000">
      <w:pPr>
        <w:widowControl w:val="0"/>
        <w:spacing w:after="0"/>
        <w:jc w:val="left"/>
        <w:rPr>
          <w:rFonts w:ascii="Google Sans" w:eastAsia="Google Sans" w:hAnsi="Google Sans" w:cs="Google Sans"/>
          <w:b/>
          <w:color w:val="202124"/>
        </w:rPr>
      </w:pPr>
      <w:r>
        <w:rPr>
          <w:rFonts w:ascii="Google Sans" w:eastAsia="Google Sans" w:hAnsi="Google Sans" w:cs="Google Sans"/>
          <w:b/>
          <w:color w:val="202124"/>
        </w:rPr>
        <w:t>Évaluation de l'apprentissage</w:t>
      </w:r>
    </w:p>
    <w:p w14:paraId="62DBF8B2" w14:textId="77777777" w:rsidR="00F37E0E" w:rsidRDefault="00000000">
      <w:pPr>
        <w:widowControl w:val="0"/>
        <w:numPr>
          <w:ilvl w:val="0"/>
          <w:numId w:val="12"/>
        </w:numPr>
        <w:spacing w:after="0"/>
        <w:jc w:val="left"/>
        <w:rPr>
          <w:rFonts w:ascii="Google Sans" w:eastAsia="Google Sans" w:hAnsi="Google Sans" w:cs="Google Sans"/>
          <w:color w:val="202124"/>
        </w:rPr>
      </w:pPr>
      <w:r>
        <w:rPr>
          <w:rFonts w:ascii="Google Sans" w:eastAsia="Google Sans" w:hAnsi="Google Sans" w:cs="Google Sans"/>
          <w:color w:val="202124"/>
        </w:rPr>
        <w:t>Les élèves rempliront la feuille de contrôle comme réflexion sur le processus. Cette feuille de contrôle sera aussi utilisée comme rubrique.</w:t>
      </w:r>
    </w:p>
    <w:p w14:paraId="2BE0AB2B" w14:textId="77777777" w:rsidR="00F37E0E" w:rsidRDefault="00F37E0E">
      <w:pPr>
        <w:widowControl w:val="0"/>
        <w:spacing w:after="0"/>
        <w:jc w:val="left"/>
        <w:rPr>
          <w:rFonts w:ascii="Google Sans" w:eastAsia="Google Sans" w:hAnsi="Google Sans" w:cs="Google Sans"/>
          <w:color w:val="202124"/>
        </w:rPr>
      </w:pPr>
    </w:p>
    <w:p w14:paraId="651356AD" w14:textId="77777777" w:rsidR="00F37E0E" w:rsidRDefault="00000000">
      <w:pPr>
        <w:widowControl w:val="0"/>
        <w:spacing w:after="0"/>
        <w:jc w:val="left"/>
        <w:rPr>
          <w:rFonts w:ascii="Google Sans" w:eastAsia="Google Sans" w:hAnsi="Google Sans" w:cs="Google Sans"/>
          <w:b/>
          <w:color w:val="202124"/>
        </w:rPr>
      </w:pPr>
      <w:r>
        <w:rPr>
          <w:rFonts w:ascii="Google Sans" w:eastAsia="Google Sans" w:hAnsi="Google Sans" w:cs="Google Sans"/>
          <w:b/>
          <w:color w:val="202124"/>
        </w:rPr>
        <w:t>Objectifs d'apprentissage et critères de réussite</w:t>
      </w:r>
    </w:p>
    <w:p w14:paraId="31F124AF" w14:textId="77777777" w:rsidR="00F37E0E" w:rsidRDefault="00000000">
      <w:pPr>
        <w:widowControl w:val="0"/>
        <w:numPr>
          <w:ilvl w:val="0"/>
          <w:numId w:val="10"/>
        </w:numPr>
        <w:spacing w:after="0"/>
        <w:jc w:val="left"/>
        <w:rPr>
          <w:rFonts w:ascii="Google Sans" w:eastAsia="Google Sans" w:hAnsi="Google Sans" w:cs="Google Sans"/>
          <w:color w:val="202124"/>
        </w:rPr>
      </w:pPr>
      <w:r>
        <w:rPr>
          <w:rFonts w:ascii="Google Sans" w:eastAsia="Google Sans" w:hAnsi="Google Sans" w:cs="Google Sans"/>
          <w:color w:val="202124"/>
        </w:rPr>
        <w:t>Elles permettent à l’élève de faire le suivi de ses apprentissages et de déterminer les prochaines étapes.</w:t>
      </w:r>
    </w:p>
    <w:p w14:paraId="0B190E64" w14:textId="77777777" w:rsidR="00F37E0E" w:rsidRDefault="00F37E0E">
      <w:pPr>
        <w:widowControl w:val="0"/>
        <w:spacing w:after="0"/>
        <w:jc w:val="left"/>
        <w:rPr>
          <w:rFonts w:ascii="Google Sans" w:eastAsia="Google Sans" w:hAnsi="Google Sans" w:cs="Google Sans"/>
          <w:color w:val="202124"/>
        </w:rPr>
      </w:pPr>
    </w:p>
    <w:p w14:paraId="5B49CA60" w14:textId="77777777" w:rsidR="00F37E0E" w:rsidRDefault="00000000">
      <w:pPr>
        <w:widowControl w:val="0"/>
        <w:spacing w:after="0"/>
        <w:jc w:val="left"/>
        <w:rPr>
          <w:rFonts w:ascii="Google Sans" w:eastAsia="Google Sans" w:hAnsi="Google Sans" w:cs="Google Sans"/>
          <w:b/>
          <w:color w:val="202124"/>
        </w:rPr>
      </w:pPr>
      <w:r>
        <w:rPr>
          <w:rFonts w:ascii="Google Sans" w:eastAsia="Google Sans" w:hAnsi="Google Sans" w:cs="Google Sans"/>
          <w:b/>
          <w:color w:val="202124"/>
        </w:rPr>
        <w:t>Les objectifs d'apprentissage peuvent inclure l'un des éléments suivants :</w:t>
      </w:r>
    </w:p>
    <w:p w14:paraId="38E5999F" w14:textId="77777777" w:rsidR="00F37E0E" w:rsidRDefault="00000000">
      <w:pPr>
        <w:widowControl w:val="0"/>
        <w:numPr>
          <w:ilvl w:val="0"/>
          <w:numId w:val="9"/>
        </w:numPr>
        <w:spacing w:after="0"/>
        <w:jc w:val="left"/>
        <w:rPr>
          <w:rFonts w:ascii="Google Sans" w:eastAsia="Google Sans" w:hAnsi="Google Sans" w:cs="Google Sans"/>
          <w:color w:val="202124"/>
        </w:rPr>
      </w:pPr>
      <w:r>
        <w:rPr>
          <w:rFonts w:ascii="Google Sans" w:eastAsia="Google Sans" w:hAnsi="Google Sans" w:cs="Google Sans"/>
          <w:color w:val="202124"/>
        </w:rPr>
        <w:t>Les élèves seront en mesure d’identifier les opportunités de carrière et les étapes appropriées pour obtenir un emploi dans les métiers spécialisés;</w:t>
      </w:r>
    </w:p>
    <w:p w14:paraId="5B432CF2" w14:textId="77777777" w:rsidR="00F37E0E" w:rsidRDefault="00000000">
      <w:pPr>
        <w:widowControl w:val="0"/>
        <w:numPr>
          <w:ilvl w:val="0"/>
          <w:numId w:val="9"/>
        </w:numPr>
        <w:spacing w:after="0"/>
        <w:jc w:val="left"/>
        <w:rPr>
          <w:rFonts w:ascii="Google Sans" w:eastAsia="Google Sans" w:hAnsi="Google Sans" w:cs="Google Sans"/>
          <w:color w:val="202124"/>
        </w:rPr>
      </w:pPr>
      <w:r>
        <w:rPr>
          <w:rFonts w:ascii="Google Sans" w:eastAsia="Google Sans" w:hAnsi="Google Sans" w:cs="Google Sans"/>
          <w:color w:val="202124"/>
        </w:rPr>
        <w:t>Les élèves comprendront l'importance et l'utilité des métiers en usinage.</w:t>
      </w:r>
    </w:p>
    <w:p w14:paraId="3B2024FE" w14:textId="77777777" w:rsidR="00F37E0E" w:rsidRDefault="00F37E0E">
      <w:pPr>
        <w:widowControl w:val="0"/>
        <w:spacing w:after="0"/>
        <w:jc w:val="left"/>
        <w:rPr>
          <w:rFonts w:ascii="Google Sans" w:eastAsia="Google Sans" w:hAnsi="Google Sans" w:cs="Google Sans"/>
          <w:color w:val="202124"/>
        </w:rPr>
      </w:pPr>
    </w:p>
    <w:p w14:paraId="5B37FF63" w14:textId="77777777" w:rsidR="00F37E0E" w:rsidRDefault="00000000">
      <w:pPr>
        <w:widowControl w:val="0"/>
        <w:spacing w:after="0"/>
        <w:jc w:val="left"/>
        <w:rPr>
          <w:rFonts w:ascii="Google Sans" w:eastAsia="Google Sans" w:hAnsi="Google Sans" w:cs="Google Sans"/>
          <w:color w:val="202124"/>
        </w:rPr>
      </w:pPr>
      <w:r>
        <w:rPr>
          <w:rFonts w:ascii="Google Sans" w:eastAsia="Google Sans" w:hAnsi="Google Sans" w:cs="Google Sans"/>
          <w:b/>
          <w:color w:val="202124"/>
        </w:rPr>
        <w:t>Les critères de réussite peuvent inclure l'un des éléments suivants :</w:t>
      </w:r>
    </w:p>
    <w:p w14:paraId="0E4D4E03" w14:textId="77777777" w:rsidR="00F37E0E" w:rsidRDefault="00000000">
      <w:pPr>
        <w:widowControl w:val="0"/>
        <w:numPr>
          <w:ilvl w:val="0"/>
          <w:numId w:val="14"/>
        </w:numPr>
        <w:spacing w:after="0"/>
        <w:jc w:val="left"/>
        <w:rPr>
          <w:rFonts w:ascii="Google Sans" w:eastAsia="Google Sans" w:hAnsi="Google Sans" w:cs="Google Sans"/>
          <w:color w:val="202124"/>
        </w:rPr>
      </w:pPr>
      <w:r>
        <w:rPr>
          <w:rFonts w:ascii="Google Sans" w:eastAsia="Google Sans" w:hAnsi="Google Sans" w:cs="Google Sans"/>
          <w:color w:val="202124"/>
        </w:rPr>
        <w:t>Je comprends l'importance de l'alphabétisation en dessin orthogonal;</w:t>
      </w:r>
    </w:p>
    <w:p w14:paraId="46B682C9" w14:textId="77777777" w:rsidR="00F37E0E" w:rsidRDefault="00000000">
      <w:pPr>
        <w:widowControl w:val="0"/>
        <w:numPr>
          <w:ilvl w:val="0"/>
          <w:numId w:val="14"/>
        </w:numPr>
        <w:spacing w:after="0"/>
        <w:jc w:val="left"/>
        <w:rPr>
          <w:rFonts w:ascii="Google Sans" w:eastAsia="Google Sans" w:hAnsi="Google Sans" w:cs="Google Sans"/>
          <w:color w:val="202124"/>
        </w:rPr>
      </w:pPr>
      <w:r>
        <w:rPr>
          <w:rFonts w:ascii="Google Sans" w:eastAsia="Google Sans" w:hAnsi="Google Sans" w:cs="Google Sans"/>
          <w:color w:val="202124"/>
        </w:rPr>
        <w:t>Je pourrai percer des motifs précis en utilisant soit une perceuse à main, une perceuse à colonne ou un vilebrequin;</w:t>
      </w:r>
    </w:p>
    <w:p w14:paraId="62C42D9D" w14:textId="77777777" w:rsidR="00F37E0E" w:rsidRDefault="00000000">
      <w:pPr>
        <w:widowControl w:val="0"/>
        <w:numPr>
          <w:ilvl w:val="0"/>
          <w:numId w:val="14"/>
        </w:numPr>
        <w:spacing w:after="0"/>
        <w:jc w:val="left"/>
        <w:rPr>
          <w:rFonts w:ascii="Google Sans" w:eastAsia="Google Sans" w:hAnsi="Google Sans" w:cs="Google Sans"/>
          <w:color w:val="202124"/>
        </w:rPr>
      </w:pPr>
      <w:r>
        <w:rPr>
          <w:rFonts w:ascii="Google Sans" w:eastAsia="Google Sans" w:hAnsi="Google Sans" w:cs="Google Sans"/>
          <w:color w:val="202124"/>
        </w:rPr>
        <w:t>Je vais réfléchir de manière critique aux résultats de mon utilisation de l'outil, je porte un regard critique sur mon travail ainsi que sur mes résultats;</w:t>
      </w:r>
    </w:p>
    <w:p w14:paraId="1B16BCA6" w14:textId="77777777" w:rsidR="00F37E0E" w:rsidRDefault="00000000">
      <w:pPr>
        <w:widowControl w:val="0"/>
        <w:numPr>
          <w:ilvl w:val="0"/>
          <w:numId w:val="14"/>
        </w:numPr>
        <w:spacing w:after="0"/>
        <w:jc w:val="left"/>
        <w:rPr>
          <w:rFonts w:ascii="Google Sans" w:eastAsia="Google Sans" w:hAnsi="Google Sans" w:cs="Google Sans"/>
          <w:color w:val="202124"/>
        </w:rPr>
      </w:pPr>
      <w:r>
        <w:rPr>
          <w:rFonts w:ascii="Google Sans" w:eastAsia="Google Sans" w:hAnsi="Google Sans" w:cs="Google Sans"/>
          <w:color w:val="202124"/>
        </w:rPr>
        <w:t>J'adopterai de nouvelles stratégies pour m’améliorer;</w:t>
      </w:r>
    </w:p>
    <w:p w14:paraId="524FF343" w14:textId="77777777" w:rsidR="00F37E0E" w:rsidRDefault="00000000">
      <w:pPr>
        <w:widowControl w:val="0"/>
        <w:numPr>
          <w:ilvl w:val="0"/>
          <w:numId w:val="14"/>
        </w:numPr>
        <w:spacing w:after="0"/>
        <w:jc w:val="left"/>
        <w:rPr>
          <w:rFonts w:ascii="Google Sans" w:eastAsia="Google Sans" w:hAnsi="Google Sans" w:cs="Google Sans"/>
          <w:color w:val="202124"/>
        </w:rPr>
      </w:pPr>
      <w:r>
        <w:rPr>
          <w:rFonts w:ascii="Google Sans" w:eastAsia="Google Sans" w:hAnsi="Google Sans" w:cs="Google Sans"/>
          <w:color w:val="202124"/>
        </w:rPr>
        <w:t>Je consulterai les parcours postsecondaires possibles me permettant d’obtenir une carrière dans le domaine de l’usinage.</w:t>
      </w:r>
    </w:p>
    <w:p w14:paraId="60342BB4" w14:textId="77777777" w:rsidR="00F37E0E" w:rsidRDefault="00F37E0E">
      <w:pPr>
        <w:widowControl w:val="0"/>
        <w:spacing w:after="0"/>
        <w:ind w:left="720"/>
        <w:jc w:val="left"/>
        <w:rPr>
          <w:rFonts w:ascii="Google Sans" w:eastAsia="Google Sans" w:hAnsi="Google Sans" w:cs="Google Sans"/>
          <w:color w:val="202124"/>
          <w:sz w:val="22"/>
          <w:szCs w:val="22"/>
        </w:rPr>
      </w:pPr>
    </w:p>
    <w:p w14:paraId="4C7D747A" w14:textId="77777777" w:rsidR="00F37E0E" w:rsidRDefault="00000000">
      <w:pPr>
        <w:pStyle w:val="Heading1"/>
        <w:widowControl w:val="0"/>
        <w:spacing w:after="0"/>
        <w:rPr>
          <w:rFonts w:ascii="Google Sans" w:eastAsia="Google Sans" w:hAnsi="Google Sans" w:cs="Google Sans"/>
        </w:rPr>
      </w:pPr>
      <w:bookmarkStart w:id="14" w:name="_6xukaywt6252" w:colFirst="0" w:colLast="0"/>
      <w:bookmarkEnd w:id="14"/>
      <w:r>
        <w:rPr>
          <w:rFonts w:ascii="Google Sans" w:eastAsia="Google Sans" w:hAnsi="Google Sans" w:cs="Google Sans"/>
        </w:rPr>
        <w:lastRenderedPageBreak/>
        <w:t>Le curriculum de l'Ontario, 9e et 10e année, Éducation technologique, 2009</w:t>
      </w:r>
    </w:p>
    <w:p w14:paraId="03EA4F3B" w14:textId="77777777" w:rsidR="00F37E0E" w:rsidRDefault="00000000">
      <w:pPr>
        <w:pStyle w:val="Heading2"/>
        <w:widowControl w:val="0"/>
        <w:rPr>
          <w:rFonts w:ascii="Google Sans" w:eastAsia="Google Sans" w:hAnsi="Google Sans" w:cs="Google Sans"/>
        </w:rPr>
      </w:pPr>
      <w:bookmarkStart w:id="15" w:name="_7qcnyi2jpywt" w:colFirst="0" w:colLast="0"/>
      <w:bookmarkEnd w:id="15"/>
      <w:r>
        <w:rPr>
          <w:rFonts w:ascii="Google Sans" w:eastAsia="Google Sans" w:hAnsi="Google Sans" w:cs="Google Sans"/>
        </w:rPr>
        <w:t>Attentes du cours TCJ2O, Technologie de la construction</w:t>
      </w:r>
    </w:p>
    <w:p w14:paraId="4EEE34EB"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B2. appliquer les procédés de fabrication, d’assemblage et de finition pour réaliser des projets en toute sécurité;</w:t>
      </w:r>
    </w:p>
    <w:p w14:paraId="2370F4D6"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C1. analyser l’impact de l’industrie de la construction sur l’économie, la société et l’environnement;</w:t>
      </w:r>
    </w:p>
    <w:p w14:paraId="3F6D8AF0"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C2. déterminer la valeur d’une formation en éducation technologique sur le plan personnel ainsi que des possibilités de carrière et de formation en technologie, notamment dans le secteur de la construction.</w:t>
      </w:r>
    </w:p>
    <w:p w14:paraId="6877E0D1" w14:textId="77777777" w:rsidR="00F37E0E" w:rsidRDefault="00F37E0E">
      <w:pPr>
        <w:widowControl w:val="0"/>
        <w:spacing w:after="0"/>
        <w:jc w:val="left"/>
        <w:rPr>
          <w:rFonts w:ascii="Google Sans" w:eastAsia="Google Sans" w:hAnsi="Google Sans" w:cs="Google Sans"/>
          <w:sz w:val="22"/>
          <w:szCs w:val="22"/>
        </w:rPr>
      </w:pPr>
    </w:p>
    <w:p w14:paraId="59F8A4A4" w14:textId="77777777" w:rsidR="00F37E0E" w:rsidRDefault="00000000">
      <w:pPr>
        <w:pStyle w:val="Heading2"/>
        <w:widowControl w:val="0"/>
        <w:rPr>
          <w:rFonts w:ascii="Google Sans" w:eastAsia="Google Sans" w:hAnsi="Google Sans" w:cs="Google Sans"/>
        </w:rPr>
      </w:pPr>
      <w:bookmarkStart w:id="16" w:name="_t6fj3ohuwd2t" w:colFirst="0" w:colLast="0"/>
      <w:bookmarkEnd w:id="16"/>
      <w:r>
        <w:rPr>
          <w:rFonts w:ascii="Google Sans" w:eastAsia="Google Sans" w:hAnsi="Google Sans" w:cs="Google Sans"/>
        </w:rPr>
        <w:t>Attentes du cours TMJ2O, Technologie de la fabrication</w:t>
      </w:r>
    </w:p>
    <w:p w14:paraId="32D104F1"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A1. déterminer les grandes sphères d’activité du secteur manufacturier et les aspects essentiels d’un projet de fabrication;</w:t>
      </w:r>
    </w:p>
    <w:p w14:paraId="17B75178"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A4. dégager la pertinence des règlements appliqués en matière de santé et de sécurité au travail dans le secteur manufacturier;</w:t>
      </w:r>
    </w:p>
    <w:p w14:paraId="6EBD19BF"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 xml:space="preserve">B2. mettre en œuvre les procédés de fabrication et de contrôle nécessaires à la réalisation de projets en observant les consignes de sécurité s’y rattachant; </w:t>
      </w:r>
    </w:p>
    <w:p w14:paraId="67919438" w14:textId="77777777" w:rsidR="00F37E0E" w:rsidRDefault="00000000">
      <w:pPr>
        <w:widowControl w:val="0"/>
        <w:spacing w:after="0"/>
        <w:jc w:val="left"/>
        <w:rPr>
          <w:rFonts w:ascii="Google Sans" w:eastAsia="Google Sans" w:hAnsi="Google Sans" w:cs="Google Sans"/>
          <w:sz w:val="22"/>
          <w:szCs w:val="22"/>
        </w:rPr>
      </w:pPr>
      <w:r>
        <w:rPr>
          <w:rFonts w:ascii="Google Sans" w:eastAsia="Google Sans" w:hAnsi="Google Sans" w:cs="Google Sans"/>
          <w:sz w:val="22"/>
          <w:szCs w:val="22"/>
        </w:rPr>
        <w:t xml:space="preserve">C2. déterminer la valeur d’une formation en éducation technologique sur le plan personnel ainsi que des possibilités de carrière et de formation en technologie, notamment dans le secteur de la fabrication. </w:t>
      </w:r>
    </w:p>
    <w:p w14:paraId="56F00E78" w14:textId="77777777" w:rsidR="00F37E0E" w:rsidRDefault="00F37E0E">
      <w:pPr>
        <w:widowControl w:val="0"/>
        <w:spacing w:after="0"/>
        <w:jc w:val="left"/>
        <w:rPr>
          <w:rFonts w:ascii="Google Sans" w:eastAsia="Google Sans" w:hAnsi="Google Sans" w:cs="Google Sans"/>
          <w:sz w:val="22"/>
          <w:szCs w:val="22"/>
        </w:rPr>
      </w:pPr>
    </w:p>
    <w:p w14:paraId="52680189" w14:textId="77777777" w:rsidR="00F37E0E" w:rsidRDefault="00000000">
      <w:pPr>
        <w:pStyle w:val="Heading1"/>
        <w:rPr>
          <w:rFonts w:ascii="Google Sans" w:eastAsia="Google Sans" w:hAnsi="Google Sans" w:cs="Google Sans"/>
        </w:rPr>
      </w:pPr>
      <w:bookmarkStart w:id="17" w:name="_3as4poj" w:colFirst="0" w:colLast="0"/>
      <w:bookmarkEnd w:id="17"/>
      <w:r>
        <w:rPr>
          <w:rFonts w:ascii="Google Sans" w:eastAsia="Google Sans" w:hAnsi="Google Sans" w:cs="Google Sans"/>
        </w:rPr>
        <w:t>Différenciation pédagogique</w:t>
      </w:r>
    </w:p>
    <w:p w14:paraId="7B0FCCD7"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enseignants peuvent aussi se référer au </w:t>
      </w:r>
      <w:hyperlink r:id="rId23">
        <w:r>
          <w:rPr>
            <w:rFonts w:ascii="Google Sans" w:eastAsia="Google Sans" w:hAnsi="Google Sans" w:cs="Google Sans"/>
            <w:color w:val="1155CC"/>
            <w:u w:val="single"/>
          </w:rPr>
          <w:t>guide de différenciation</w:t>
        </w:r>
      </w:hyperlink>
      <w:r>
        <w:rPr>
          <w:rFonts w:ascii="Google Sans" w:eastAsia="Google Sans" w:hAnsi="Google Sans" w:cs="Google Sans"/>
        </w:rPr>
        <w:t xml:space="preserve"> pour tenir compte des habiletés, des intelligences multiples, des élèves doués et des élèves ALF/PANA. Les activités de ce document comportent des directives visuelles, écrites et vidéos.  Quelques-unes des vidéos Youtube ont également la vidéodescription.</w:t>
      </w:r>
    </w:p>
    <w:p w14:paraId="28325FC6" w14:textId="77777777" w:rsidR="00F37E0E" w:rsidRDefault="00F37E0E">
      <w:pPr>
        <w:widowControl w:val="0"/>
        <w:spacing w:after="0"/>
        <w:jc w:val="left"/>
        <w:rPr>
          <w:rFonts w:ascii="Google Sans" w:eastAsia="Google Sans" w:hAnsi="Google Sans" w:cs="Google Sans"/>
        </w:rPr>
      </w:pPr>
    </w:p>
    <w:p w14:paraId="2F90F896"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élèves peuvent compléter certaines activités à l’aide de l’extension </w:t>
      </w:r>
      <w:hyperlink r:id="rId24">
        <w:r>
          <w:rPr>
            <w:rFonts w:ascii="Google Sans" w:eastAsia="Google Sans" w:hAnsi="Google Sans" w:cs="Google Sans"/>
            <w:color w:val="1155CC"/>
            <w:u w:val="single"/>
          </w:rPr>
          <w:t>Google Read &amp; Write.</w:t>
        </w:r>
      </w:hyperlink>
    </w:p>
    <w:p w14:paraId="679D5B2C" w14:textId="77777777" w:rsidR="00F37E0E" w:rsidRDefault="00F37E0E">
      <w:pPr>
        <w:widowControl w:val="0"/>
        <w:spacing w:after="0"/>
        <w:jc w:val="left"/>
        <w:rPr>
          <w:rFonts w:ascii="Google Sans" w:eastAsia="Google Sans" w:hAnsi="Google Sans" w:cs="Google Sans"/>
        </w:rPr>
      </w:pPr>
    </w:p>
    <w:p w14:paraId="1ABF882B" w14:textId="77777777" w:rsidR="00F37E0E"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Centre d’aide pour le </w:t>
      </w:r>
      <w:hyperlink r:id="rId25">
        <w:r>
          <w:rPr>
            <w:rFonts w:ascii="Google Sans" w:eastAsia="Google Sans" w:hAnsi="Google Sans" w:cs="Google Sans"/>
            <w:color w:val="1155CC"/>
            <w:u w:val="single"/>
          </w:rPr>
          <w:t>Read &amp; Write</w:t>
        </w:r>
      </w:hyperlink>
    </w:p>
    <w:p w14:paraId="40D7A3A7" w14:textId="77777777" w:rsidR="00F37E0E" w:rsidRDefault="00F37E0E">
      <w:pPr>
        <w:spacing w:after="0"/>
        <w:rPr>
          <w:rFonts w:ascii="Google Sans" w:eastAsia="Google Sans" w:hAnsi="Google Sans" w:cs="Google Sans"/>
        </w:rPr>
      </w:pPr>
    </w:p>
    <w:sectPr w:rsidR="00F37E0E">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9B73" w14:textId="77777777" w:rsidR="00EC2B59" w:rsidRDefault="00EC2B59">
      <w:pPr>
        <w:spacing w:after="0"/>
      </w:pPr>
      <w:r>
        <w:separator/>
      </w:r>
    </w:p>
  </w:endnote>
  <w:endnote w:type="continuationSeparator" w:id="0">
    <w:p w14:paraId="295EEEF3" w14:textId="77777777" w:rsidR="00EC2B59" w:rsidRDefault="00EC2B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ogl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22A" w14:textId="77777777" w:rsidR="00F37E0E" w:rsidRDefault="00000000">
    <w:pPr>
      <w:pBdr>
        <w:top w:val="nil"/>
        <w:left w:val="nil"/>
        <w:bottom w:val="nil"/>
        <w:right w:val="nil"/>
        <w:between w:val="nil"/>
      </w:pBdr>
      <w:tabs>
        <w:tab w:val="center" w:pos="4680"/>
        <w:tab w:val="right" w:pos="9360"/>
      </w:tabs>
      <w:spacing w:after="0"/>
      <w:jc w:val="right"/>
      <w:rPr>
        <w:b/>
        <w:color w:val="000000"/>
      </w:rPr>
    </w:pPr>
    <w:r>
      <w:rPr>
        <w:b/>
        <w:color w:val="000000"/>
      </w:rPr>
      <w:fldChar w:fldCharType="begin"/>
    </w:r>
    <w:r>
      <w:rPr>
        <w:b/>
        <w:color w:val="000000"/>
      </w:rPr>
      <w:instrText>PAGE</w:instrText>
    </w:r>
    <w:r>
      <w:rPr>
        <w:b/>
        <w:color w:val="000000"/>
      </w:rPr>
      <w:fldChar w:fldCharType="separate"/>
    </w:r>
    <w:r w:rsidR="00803810">
      <w:rPr>
        <w:b/>
        <w:noProof/>
        <w:color w:val="000000"/>
      </w:rPr>
      <w:t>1</w:t>
    </w:r>
    <w:r>
      <w:rPr>
        <w:b/>
        <w:color w:val="000000"/>
      </w:rPr>
      <w:fldChar w:fldCharType="end"/>
    </w:r>
  </w:p>
  <w:p w14:paraId="61C68C06" w14:textId="77777777" w:rsidR="00F37E0E" w:rsidRDefault="00F37E0E">
    <w:pPr>
      <w:widowControl w:val="0"/>
      <w:pBdr>
        <w:top w:val="nil"/>
        <w:left w:val="nil"/>
        <w:bottom w:val="nil"/>
        <w:right w:val="nil"/>
        <w:between w:val="nil"/>
      </w:pBdr>
      <w:spacing w:after="0" w:line="276" w:lineRule="auto"/>
      <w:jc w:val="lef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A3AB" w14:textId="77777777" w:rsidR="00EC2B59" w:rsidRDefault="00EC2B59">
      <w:pPr>
        <w:spacing w:after="0"/>
      </w:pPr>
      <w:r>
        <w:separator/>
      </w:r>
    </w:p>
  </w:footnote>
  <w:footnote w:type="continuationSeparator" w:id="0">
    <w:p w14:paraId="5E93353A" w14:textId="77777777" w:rsidR="00EC2B59" w:rsidRDefault="00EC2B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96A0" w14:textId="77777777" w:rsidR="00F37E0E" w:rsidRDefault="00F37E0E">
    <w:pPr>
      <w:pBdr>
        <w:top w:val="nil"/>
        <w:left w:val="nil"/>
        <w:bottom w:val="nil"/>
        <w:right w:val="nil"/>
        <w:between w:val="nil"/>
      </w:pBdr>
      <w:tabs>
        <w:tab w:val="center" w:pos="4680"/>
        <w:tab w:val="right" w:pos="9360"/>
      </w:tabs>
      <w:spacing w:after="0"/>
      <w:rPr>
        <w:rFonts w:ascii="Calibri" w:eastAsia="Calibri" w:hAnsi="Calibri" w:cs="Calibri"/>
        <w:color w:val="1932FF"/>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628B"/>
    <w:multiLevelType w:val="multilevel"/>
    <w:tmpl w:val="94863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A3885"/>
    <w:multiLevelType w:val="multilevel"/>
    <w:tmpl w:val="F06C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43B33"/>
    <w:multiLevelType w:val="multilevel"/>
    <w:tmpl w:val="C174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30A29"/>
    <w:multiLevelType w:val="multilevel"/>
    <w:tmpl w:val="0D221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439A4"/>
    <w:multiLevelType w:val="multilevel"/>
    <w:tmpl w:val="04686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9475C"/>
    <w:multiLevelType w:val="multilevel"/>
    <w:tmpl w:val="BB4E4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01C30"/>
    <w:multiLevelType w:val="multilevel"/>
    <w:tmpl w:val="2A9AA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B4552B"/>
    <w:multiLevelType w:val="multilevel"/>
    <w:tmpl w:val="5A2A6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D630C3"/>
    <w:multiLevelType w:val="multilevel"/>
    <w:tmpl w:val="C234F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5F6427"/>
    <w:multiLevelType w:val="multilevel"/>
    <w:tmpl w:val="0936D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BB454A"/>
    <w:multiLevelType w:val="multilevel"/>
    <w:tmpl w:val="B4EA0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6C51C9"/>
    <w:multiLevelType w:val="multilevel"/>
    <w:tmpl w:val="A3964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B3A47"/>
    <w:multiLevelType w:val="multilevel"/>
    <w:tmpl w:val="C8AAC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017714"/>
    <w:multiLevelType w:val="multilevel"/>
    <w:tmpl w:val="0C429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7293960">
    <w:abstractNumId w:val="8"/>
  </w:num>
  <w:num w:numId="2" w16cid:durableId="111943657">
    <w:abstractNumId w:val="4"/>
  </w:num>
  <w:num w:numId="3" w16cid:durableId="403798362">
    <w:abstractNumId w:val="7"/>
  </w:num>
  <w:num w:numId="4" w16cid:durableId="45375867">
    <w:abstractNumId w:val="11"/>
  </w:num>
  <w:num w:numId="5" w16cid:durableId="2055110296">
    <w:abstractNumId w:val="3"/>
  </w:num>
  <w:num w:numId="6" w16cid:durableId="905722849">
    <w:abstractNumId w:val="5"/>
  </w:num>
  <w:num w:numId="7" w16cid:durableId="160463410">
    <w:abstractNumId w:val="9"/>
  </w:num>
  <w:num w:numId="8" w16cid:durableId="2051414207">
    <w:abstractNumId w:val="6"/>
  </w:num>
  <w:num w:numId="9" w16cid:durableId="603733432">
    <w:abstractNumId w:val="10"/>
  </w:num>
  <w:num w:numId="10" w16cid:durableId="1499148247">
    <w:abstractNumId w:val="12"/>
  </w:num>
  <w:num w:numId="11" w16cid:durableId="512574531">
    <w:abstractNumId w:val="0"/>
  </w:num>
  <w:num w:numId="12" w16cid:durableId="575286156">
    <w:abstractNumId w:val="1"/>
  </w:num>
  <w:num w:numId="13" w16cid:durableId="857887500">
    <w:abstractNumId w:val="2"/>
  </w:num>
  <w:num w:numId="14" w16cid:durableId="10713921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0E"/>
    <w:rsid w:val="00803810"/>
    <w:rsid w:val="00EC2B59"/>
    <w:rsid w:val="00F37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B2FC"/>
  <w15:docId w15:val="{4FA0D569-059C-4A5D-9244-7DFF89F9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360"/>
      <w:jc w:val="left"/>
      <w:outlineLvl w:val="0"/>
    </w:pPr>
    <w:rPr>
      <w:rFonts w:ascii="Calibri" w:eastAsia="Calibri" w:hAnsi="Calibri" w:cs="Calibri"/>
      <w:color w:val="1932FF"/>
      <w:sz w:val="40"/>
      <w:szCs w:val="40"/>
    </w:rPr>
  </w:style>
  <w:style w:type="paragraph" w:styleId="Heading2">
    <w:name w:val="heading 2"/>
    <w:basedOn w:val="Normal"/>
    <w:next w:val="Normal"/>
    <w:uiPriority w:val="9"/>
    <w:unhideWhenUsed/>
    <w:qFormat/>
    <w:pPr>
      <w:keepNext/>
      <w:keepLines/>
      <w:spacing w:before="360" w:after="0"/>
      <w:jc w:val="left"/>
      <w:outlineLvl w:val="1"/>
    </w:pPr>
    <w:rPr>
      <w:rFonts w:ascii="Calibri" w:eastAsia="Calibri" w:hAnsi="Calibri" w:cs="Calibri"/>
      <w:color w:val="1932FF"/>
      <w:sz w:val="32"/>
      <w:szCs w:val="32"/>
    </w:rPr>
  </w:style>
  <w:style w:type="paragraph" w:styleId="Heading3">
    <w:name w:val="heading 3"/>
    <w:basedOn w:val="Normal"/>
    <w:next w:val="Normal"/>
    <w:uiPriority w:val="9"/>
    <w:unhideWhenUsed/>
    <w:qFormat/>
    <w:pPr>
      <w:keepNext/>
      <w:keepLines/>
      <w:spacing w:before="240" w:after="0"/>
      <w:jc w:val="left"/>
      <w:outlineLvl w:val="2"/>
    </w:pPr>
    <w:rPr>
      <w:rFonts w:ascii="Calibri" w:eastAsia="Calibri" w:hAnsi="Calibri" w:cs="Calibri"/>
      <w:color w:val="1932FF"/>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ZDp1XNj-eU-ISrivw0rRDjwtZE3W5FtA6tDuQE2pNZI/edit?usp=sharing" TargetMode="External"/><Relationship Id="rId18" Type="http://schemas.openxmlformats.org/officeDocument/2006/relationships/hyperlink" Target="https://docs.google.com/document/d/1SXGjbcdKr6buS3QyLaUxdZpHM7zhcbSnYiZ2e-6Z2D8/edit?usp=shari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du.gov.on.ca/fre/curriculum/secondary/teched910curr09.pdf" TargetMode="External"/><Relationship Id="rId7" Type="http://schemas.openxmlformats.org/officeDocument/2006/relationships/image" Target="media/image1.png"/><Relationship Id="rId12" Type="http://schemas.openxmlformats.org/officeDocument/2006/relationships/hyperlink" Target="https://www.youtube.com/watch?v=qFURYlVhEcE&amp;ab_channel=OntarioCentreofInnovation%28OCI%29" TargetMode="External"/><Relationship Id="rId17" Type="http://schemas.openxmlformats.org/officeDocument/2006/relationships/hyperlink" Target="https://docs.google.com/document/d/1SXGjbcdKr6buS3QyLaUxdZpHM7zhcbSnYiZ2e-6Z2D8/edit?usp=sharing" TargetMode="External"/><Relationship Id="rId25" Type="http://schemas.openxmlformats.org/officeDocument/2006/relationships/hyperlink" Target="https://support.texthelp.com/help/readwrite-7fdf2a" TargetMode="External"/><Relationship Id="rId2" Type="http://schemas.openxmlformats.org/officeDocument/2006/relationships/styles" Target="styles.xml"/><Relationship Id="rId16" Type="http://schemas.openxmlformats.org/officeDocument/2006/relationships/hyperlink" Target="https://docs.google.com/document/d/1HLklELL-HznOig7NhS-AhEpgxvkfYL5r_2k_bbZ_NOc/edit?usp=sharing" TargetMode="External"/><Relationship Id="rId20" Type="http://schemas.openxmlformats.org/officeDocument/2006/relationships/hyperlink" Target="https://www.edu.gov.on.ca/fre/policyfunding/growsuccessfr.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vinhub.ca/fr/information-generale/" TargetMode="External"/><Relationship Id="rId24" Type="http://schemas.openxmlformats.org/officeDocument/2006/relationships/hyperlink" Target="https://chrome.google.com/webstore/detail/readwrite-for-google-chro/inoeonmfapjbbkmdafoankkfajkcphgd" TargetMode="External"/><Relationship Id="rId5" Type="http://schemas.openxmlformats.org/officeDocument/2006/relationships/footnotes" Target="footnotes.xml"/><Relationship Id="rId15" Type="http://schemas.openxmlformats.org/officeDocument/2006/relationships/hyperlink" Target="https://docs.google.com/presentation/d/1P-75ywfPjPc6V_ro97Ph1LoX8G-PCp4kYDGHNp57nbw/edit?usp=sharing" TargetMode="External"/><Relationship Id="rId23" Type="http://schemas.openxmlformats.org/officeDocument/2006/relationships/hyperlink" Target="https://www.edugains.ca/resourcesDI/Brochures/FrenchResources/FrenchDIBrochure.pdf" TargetMode="External"/><Relationship Id="rId28" Type="http://schemas.openxmlformats.org/officeDocument/2006/relationships/fontTable" Target="fontTable.xml"/><Relationship Id="rId10" Type="http://schemas.openxmlformats.org/officeDocument/2006/relationships/hyperlink" Target="https://news.ontario.ca/fr/release/1001266/lontario-lance-une-initiative-phare-pour-diriger-la-mise-au-point-de-technologies-pour-vehicules-electriques-et-de-transport-intelligent" TargetMode="External"/><Relationship Id="rId19" Type="http://schemas.openxmlformats.org/officeDocument/2006/relationships/hyperlink" Target="https://pedagogienumeriqueenaction.cforp.ca/wp-content/uploads/2016/03/Definir-les-competences-du-21e-siecle-pour-l_Ontario-Document-de-reflexion-phase-1-2016.pdf" TargetMode="External"/><Relationship Id="rId4" Type="http://schemas.openxmlformats.org/officeDocument/2006/relationships/webSettings" Target="webSettings.xml"/><Relationship Id="rId9" Type="http://schemas.openxmlformats.org/officeDocument/2006/relationships/hyperlink" Target="https://ovin-navigator.ca/fr/secteur-de-lautomobile-et-de-la-mobilite/apercu/" TargetMode="External"/><Relationship Id="rId14" Type="http://schemas.openxmlformats.org/officeDocument/2006/relationships/hyperlink" Target="https://docs.google.com/document/d/1pjpy4P4qYwtg3TWbmJRc2cM7xuSfWf2TiG15g3khUjo/edit" TargetMode="External"/><Relationship Id="rId22" Type="http://schemas.openxmlformats.org/officeDocument/2006/relationships/hyperlink" Target="https://www.octe.ca/fr/resources/resource-folder/technologie-de-la-construction-securido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2023-09-29T17:24:00Z</dcterms:created>
  <dcterms:modified xsi:type="dcterms:W3CDTF">2023-09-29T17:24:00Z</dcterms:modified>
</cp:coreProperties>
</file>