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0097a7"/>
        </w:rPr>
      </w:pPr>
      <w:bookmarkStart w:colFirst="0" w:colLast="0" w:name="_heading=h.eu0wgx76rsi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0097a7"/>
        </w:rPr>
      </w:pPr>
      <w:bookmarkStart w:colFirst="0" w:colLast="0" w:name="_heading=h.gjdgxs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color w:val="0097a7"/>
          <w:rtl w:val="0"/>
        </w:rPr>
        <w:t xml:space="preserve">Instructions for Educator - </w:t>
      </w:r>
    </w:p>
    <w:p w:rsidR="00000000" w:rsidDel="00000000" w:rsidP="00000000" w:rsidRDefault="00000000" w:rsidRPr="00000000" w14:paraId="00000003">
      <w:pPr>
        <w:pStyle w:val="Title"/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0097a7"/>
        </w:rPr>
      </w:pPr>
      <w:bookmarkStart w:colFirst="0" w:colLast="0" w:name="_heading=h.30j0zll" w:id="2"/>
      <w:bookmarkEnd w:id="2"/>
      <w:r w:rsidDel="00000000" w:rsidR="00000000" w:rsidRPr="00000000">
        <w:rPr>
          <w:rFonts w:ascii="Century Gothic" w:cs="Century Gothic" w:eastAsia="Century Gothic" w:hAnsi="Century Gothic"/>
          <w:b w:val="1"/>
          <w:color w:val="0097a7"/>
          <w:rtl w:val="0"/>
        </w:rPr>
        <w:t xml:space="preserve">Customer Service Certification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color w:val="0097a7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color w:val="0097a7"/>
          <w:sz w:val="28"/>
          <w:szCs w:val="28"/>
          <w:rtl w:val="0"/>
        </w:rPr>
        <w:t xml:space="preserve">Certification Overview</w:t>
      </w:r>
    </w:p>
    <w:p w:rsidR="00000000" w:rsidDel="00000000" w:rsidP="00000000" w:rsidRDefault="00000000" w:rsidRPr="00000000" w14:paraId="00000006">
      <w:pPr>
        <w:spacing w:before="0" w:line="276" w:lineRule="auto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It is designed to provide a broad-based Customer Service certification that can be completed by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374151"/>
          <w:rtl w:val="0"/>
        </w:rPr>
        <w:t xml:space="preserve">all sectors of SHSM</w:t>
      </w: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. As students progress through each module, there is a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374151"/>
          <w:rtl w:val="0"/>
        </w:rPr>
        <w:t xml:space="preserve">student workbook</w:t>
      </w: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 that they can add their thoughts and ideas to. It is clearly indicated in each module when they will need to add anything to the student workbook. </w:t>
      </w:r>
    </w:p>
    <w:p w:rsidR="00000000" w:rsidDel="00000000" w:rsidP="00000000" w:rsidRDefault="00000000" w:rsidRPr="00000000" w14:paraId="00000007">
      <w:pPr>
        <w:spacing w:before="240" w:line="276" w:lineRule="auto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This certification in Customer Service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374151"/>
          <w:rtl w:val="0"/>
        </w:rPr>
        <w:t xml:space="preserve">includes an introduction, six modules, and two extension modules</w:t>
      </w: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88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Modules 1 and 2 provide a definition, and have students consider the importance of customer service to the success of a business and identify essential skills and traits.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88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Modules 3 through 5 are more application based, featuring the notion of “surprise and delight” and typical customer service scenarios.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88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Module 6 takes a closer look at the concept of customer experience and how it connects to customer service.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88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Extension module 1 introduces Lean Six Sigma, which is a team-focused managerial approach that seeks to improve performance by eliminating resource waste and defects. It is used by companies and organizations in all SHSM sectors.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880" w:hanging="36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Extension model 2 connects Customer Service to OVIN (Ontario Vehicle Innovation Network). OVIN has connections to all SHSM sectors.</w:t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color w:val="0097a7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color w:val="0097a7"/>
          <w:sz w:val="28"/>
          <w:szCs w:val="28"/>
          <w:rtl w:val="0"/>
        </w:rPr>
        <w:t xml:space="preserve">Certification Format Options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This certification can be educator-led or asynchronously completed by students. It is available as a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 or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slide deck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 Both the website and slide deck have links that allow educators and students to navigate between each module.</w:t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color w:val="0097a7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It can be completed as a ½ day certification or over the course of a few class periods.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color w:val="0097a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color w:val="0097a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color w:val="0097a7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color w:val="0097a7"/>
          <w:sz w:val="28"/>
          <w:szCs w:val="28"/>
          <w:rtl w:val="0"/>
        </w:rPr>
        <w:t xml:space="preserve">Certification Assessment Options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For students to receive this certification, educators can choose to have students submit the student workbook and/or complete a multiple choice quiz.</w:t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Fonts w:ascii="Century Gothic" w:cs="Century Gothic" w:eastAsia="Century Gothic" w:hAnsi="Century Gothic"/>
          <w:color w:val="374151"/>
          <w:rtl w:val="0"/>
        </w:rPr>
        <w:t xml:space="preserve">There are 3 separate student workbooks: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  <w:color w:val="374151"/>
          <w:u w:val="none"/>
        </w:rPr>
      </w:pP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Modules 1-6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  <w:color w:val="374151"/>
          <w:u w:val="none"/>
        </w:rPr>
      </w:pP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Extension Module: Lean Six Sigma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  <w:color w:val="374151"/>
          <w:u w:val="none"/>
        </w:rPr>
      </w:pPr>
      <w:hyperlink r:id="rId11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Extension Module: Connecting Customer Service to the Ontario Vehicle Innovation Network (OVIN)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color w:val="0097a7"/>
          <w:sz w:val="28"/>
          <w:szCs w:val="28"/>
        </w:rPr>
      </w:pPr>
      <w:hyperlink r:id="rId12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8"/>
            <w:szCs w:val="28"/>
            <w:u w:val="single"/>
            <w:rtl w:val="0"/>
          </w:rPr>
          <w:t xml:space="preserve">Certificate sample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color w:val="0097a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color w:val="0097a7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Fonts w:ascii="Century Gothic" w:cs="Century Gothic" w:eastAsia="Century Gothic" w:hAnsi="Century Gothic"/>
        <w:color w:val="374151"/>
      </w:rPr>
      <w:drawing>
        <wp:inline distB="114300" distT="114300" distL="114300" distR="114300">
          <wp:extent cx="5314950" cy="266700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11004" t="0"/>
                  <a:stretch>
                    <a:fillRect/>
                  </a:stretch>
                </pic:blipFill>
                <pic:spPr>
                  <a:xfrm>
                    <a:off x="0" y="0"/>
                    <a:ext cx="531495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5295900</wp:posOffset>
          </wp:positionH>
          <wp:positionV relativeFrom="paragraph">
            <wp:posOffset>-79632</wp:posOffset>
          </wp:positionV>
          <wp:extent cx="738012" cy="408262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012" cy="40826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Fonts w:ascii="Century Gothic" w:cs="Century Gothic" w:eastAsia="Century Gothic" w:hAnsi="Century Gothic"/>
        <w:color w:val="374151"/>
      </w:rPr>
      <w:drawing>
        <wp:inline distB="114300" distT="114300" distL="114300" distR="114300">
          <wp:extent cx="5943600" cy="2667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YAShxkSGRD8Oy-ea74tMvHYI0zzyoX6u/view?usp=drive_link" TargetMode="External"/><Relationship Id="rId10" Type="http://schemas.openxmlformats.org/officeDocument/2006/relationships/hyperlink" Target="https://drive.google.com/file/d/1n3iQsNZ_4qhOvoMcV1SJL2zg4wH2zrIi/view?usp=drive_link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drive.google.com/file/d/1EUv9sjSZn9Ae385C1Jo5pXd5exZHBdRd/view?usp=drive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hn9BuV9PrFaPzAma5hNPvnT9dC3R1918/view?usp=sharing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tes.google.com/octe.ca/customer-service?usp=sharing" TargetMode="External"/><Relationship Id="rId8" Type="http://schemas.openxmlformats.org/officeDocument/2006/relationships/hyperlink" Target="https://docs.google.com/presentation/d/1Bm2kDemA_0GfmdJg9NTVNvnsf9fRQD52yhc0bVwGKxA/copy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UauaYYUhrcMet9X1sLSD/WlZGg==">CgMxLjAyDmguZXUwd2d4NzZyc2llMghoLmdqZGd4czIJaC4zMGowemxsOAByITFIaEdJc2xmelRaMjF4djJuVzdaVDNKRDNyYVJSaU02Xw==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